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DBC19" w14:textId="77777777" w:rsidR="008932A2" w:rsidRDefault="008932A2" w:rsidP="00147A77">
      <w:pPr>
        <w:pStyle w:val="berschrift1"/>
      </w:pPr>
      <w:r>
        <w:rPr>
          <w:noProof/>
          <w:lang w:val="en-US"/>
        </w:rPr>
        <w:drawing>
          <wp:inline distT="0" distB="0" distL="0" distR="0" wp14:anchorId="6E5481E3" wp14:editId="3B07CF03">
            <wp:extent cx="2819400" cy="257175"/>
            <wp:effectExtent l="1905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19400" cy="257175"/>
                    </a:xfrm>
                    <a:prstGeom prst="rect">
                      <a:avLst/>
                    </a:prstGeom>
                    <a:noFill/>
                    <a:ln w="9525">
                      <a:noFill/>
                      <a:miter lim="800000"/>
                      <a:headEnd/>
                      <a:tailEnd/>
                    </a:ln>
                  </pic:spPr>
                </pic:pic>
              </a:graphicData>
            </a:graphic>
          </wp:inline>
        </w:drawing>
      </w:r>
    </w:p>
    <w:p w14:paraId="687A68F7" w14:textId="20DC457A" w:rsidR="00BF762C" w:rsidRPr="00147A77" w:rsidRDefault="00BF762C" w:rsidP="00147A77">
      <w:pPr>
        <w:pStyle w:val="berschrift1"/>
      </w:pPr>
      <w:r w:rsidRPr="00147A77">
        <w:t>Best Execution Disclosure (RTS 28)</w:t>
      </w:r>
    </w:p>
    <w:p w14:paraId="3B19AB90" w14:textId="77777777" w:rsidR="00B2301C" w:rsidRPr="003A2C9F" w:rsidRDefault="00B2301C" w:rsidP="00147A77">
      <w:pPr>
        <w:spacing w:after="0" w:line="240" w:lineRule="auto"/>
        <w:rPr>
          <w:rFonts w:ascii="Arial" w:hAnsi="Arial" w:cs="Arial"/>
        </w:rPr>
      </w:pPr>
    </w:p>
    <w:p w14:paraId="62D7995D" w14:textId="77777777" w:rsidR="00B2301C" w:rsidRPr="00147A77" w:rsidRDefault="00B2301C" w:rsidP="00147A77">
      <w:pPr>
        <w:spacing w:after="0" w:line="240" w:lineRule="auto"/>
        <w:rPr>
          <w:rFonts w:ascii="Arial" w:hAnsi="Arial" w:cs="Arial"/>
          <w:i/>
        </w:rPr>
      </w:pPr>
      <w:r w:rsidRPr="00147A77">
        <w:rPr>
          <w:rFonts w:ascii="Arial" w:hAnsi="Arial" w:cs="Arial"/>
          <w:i/>
        </w:rPr>
        <w:t>Firm: Petrus Advisers Limited (“Petrus”)</w:t>
      </w:r>
    </w:p>
    <w:p w14:paraId="04236DC3" w14:textId="44D0CDFE" w:rsidR="00DE2683" w:rsidRPr="00147A77" w:rsidRDefault="00DE2683" w:rsidP="00147A77">
      <w:pPr>
        <w:spacing w:after="0" w:line="240" w:lineRule="auto"/>
        <w:rPr>
          <w:rFonts w:ascii="Arial" w:hAnsi="Arial" w:cs="Arial"/>
          <w:i/>
        </w:rPr>
      </w:pPr>
      <w:r w:rsidRPr="00147A77">
        <w:rPr>
          <w:rFonts w:ascii="Arial" w:hAnsi="Arial" w:cs="Arial"/>
          <w:i/>
        </w:rPr>
        <w:t xml:space="preserve">Disclosure Period: </w:t>
      </w:r>
      <w:r w:rsidR="00FF711A">
        <w:rPr>
          <w:rFonts w:ascii="Arial" w:hAnsi="Arial" w:cs="Arial"/>
          <w:i/>
        </w:rPr>
        <w:t>calendar year 2021</w:t>
      </w:r>
    </w:p>
    <w:p w14:paraId="5E3697AC" w14:textId="77777777" w:rsidR="00DE2683" w:rsidRPr="003A2C9F" w:rsidRDefault="00DE2683">
      <w:pPr>
        <w:rPr>
          <w:rFonts w:ascii="Arial" w:hAnsi="Arial" w:cs="Arial"/>
        </w:rPr>
      </w:pPr>
    </w:p>
    <w:tbl>
      <w:tblPr>
        <w:tblStyle w:val="Tabellenraster"/>
        <w:tblW w:w="0" w:type="auto"/>
        <w:tblLook w:val="04A0" w:firstRow="1" w:lastRow="0" w:firstColumn="1" w:lastColumn="0" w:noHBand="0" w:noVBand="1"/>
      </w:tblPr>
      <w:tblGrid>
        <w:gridCol w:w="2109"/>
        <w:gridCol w:w="13279"/>
      </w:tblGrid>
      <w:tr w:rsidR="00B2301C" w:rsidRPr="00147A77" w14:paraId="4299CF11" w14:textId="77777777" w:rsidTr="00147A77">
        <w:tc>
          <w:tcPr>
            <w:tcW w:w="2109" w:type="dxa"/>
          </w:tcPr>
          <w:p w14:paraId="24E25DB0" w14:textId="77777777" w:rsidR="00B2301C" w:rsidRPr="00147A77" w:rsidRDefault="00B2301C">
            <w:pPr>
              <w:rPr>
                <w:rFonts w:ascii="Arial" w:hAnsi="Arial" w:cs="Arial"/>
                <w:b/>
                <w:sz w:val="20"/>
              </w:rPr>
            </w:pPr>
            <w:r w:rsidRPr="00147A77">
              <w:rPr>
                <w:rFonts w:ascii="Arial" w:hAnsi="Arial" w:cs="Arial"/>
                <w:b/>
                <w:sz w:val="20"/>
              </w:rPr>
              <w:t>Scope of report</w:t>
            </w:r>
          </w:p>
        </w:tc>
        <w:tc>
          <w:tcPr>
            <w:tcW w:w="13279" w:type="dxa"/>
          </w:tcPr>
          <w:p w14:paraId="1B30E003" w14:textId="77777777" w:rsidR="00B2301C" w:rsidRPr="00147A77" w:rsidRDefault="00B2301C">
            <w:pPr>
              <w:rPr>
                <w:rFonts w:ascii="Arial" w:hAnsi="Arial" w:cs="Arial"/>
                <w:sz w:val="20"/>
              </w:rPr>
            </w:pPr>
            <w:r w:rsidRPr="00147A77">
              <w:rPr>
                <w:rFonts w:ascii="Arial" w:hAnsi="Arial" w:cs="Arial"/>
                <w:sz w:val="20"/>
              </w:rPr>
              <w:t>Petrus Advisers is an FCA authorised and regulated Alternative Investment Fund Manag</w:t>
            </w:r>
            <w:r w:rsidR="00650884" w:rsidRPr="00147A77">
              <w:rPr>
                <w:rFonts w:ascii="Arial" w:hAnsi="Arial" w:cs="Arial"/>
                <w:sz w:val="20"/>
              </w:rPr>
              <w:t xml:space="preserve">er (AIFM). In this capacity, the scope of the reporting requirement extends to orders that Petrus pass to </w:t>
            </w:r>
            <w:r w:rsidR="00155E89" w:rsidRPr="00147A77">
              <w:rPr>
                <w:rFonts w:ascii="Arial" w:hAnsi="Arial" w:cs="Arial"/>
                <w:sz w:val="20"/>
              </w:rPr>
              <w:t xml:space="preserve">other </w:t>
            </w:r>
            <w:r w:rsidR="0052448E" w:rsidRPr="00147A77">
              <w:rPr>
                <w:rFonts w:ascii="Arial" w:hAnsi="Arial" w:cs="Arial"/>
                <w:sz w:val="20"/>
              </w:rPr>
              <w:t>entities</w:t>
            </w:r>
            <w:r w:rsidR="00650884" w:rsidRPr="00147A77">
              <w:rPr>
                <w:rFonts w:ascii="Arial" w:hAnsi="Arial" w:cs="Arial"/>
                <w:sz w:val="20"/>
              </w:rPr>
              <w:t xml:space="preserve">, such as execution brokers, for the execution of its orders (“indirect orders”). </w:t>
            </w:r>
            <w:r w:rsidR="00155E89" w:rsidRPr="00147A77">
              <w:rPr>
                <w:rFonts w:ascii="Arial" w:hAnsi="Arial" w:cs="Arial"/>
                <w:sz w:val="20"/>
              </w:rPr>
              <w:t>From the classes of financi</w:t>
            </w:r>
            <w:r w:rsidR="0052448E" w:rsidRPr="00147A77">
              <w:rPr>
                <w:rFonts w:ascii="Arial" w:hAnsi="Arial" w:cs="Arial"/>
                <w:sz w:val="20"/>
              </w:rPr>
              <w:t>al instruments listed in Annex II</w:t>
            </w:r>
            <w:r w:rsidR="00155E89" w:rsidRPr="00147A77">
              <w:rPr>
                <w:rFonts w:ascii="Arial" w:hAnsi="Arial" w:cs="Arial"/>
                <w:sz w:val="20"/>
              </w:rPr>
              <w:t xml:space="preserve"> </w:t>
            </w:r>
            <w:r w:rsidR="0052448E" w:rsidRPr="00147A77">
              <w:rPr>
                <w:rFonts w:ascii="Arial" w:hAnsi="Arial" w:cs="Arial"/>
                <w:sz w:val="20"/>
              </w:rPr>
              <w:t>of</w:t>
            </w:r>
            <w:r w:rsidR="00155E89" w:rsidRPr="00147A77">
              <w:rPr>
                <w:rFonts w:ascii="Arial" w:hAnsi="Arial" w:cs="Arial"/>
                <w:sz w:val="20"/>
              </w:rPr>
              <w:t xml:space="preserve"> RTS 28, Petrus traded the following sub-set classes that are included in this report:</w:t>
            </w:r>
          </w:p>
          <w:p w14:paraId="3D0E99F9" w14:textId="77777777" w:rsidR="00155E89" w:rsidRPr="00147A77" w:rsidRDefault="00155E89">
            <w:pPr>
              <w:rPr>
                <w:rFonts w:ascii="Arial" w:hAnsi="Arial" w:cs="Arial"/>
                <w:sz w:val="20"/>
              </w:rPr>
            </w:pPr>
          </w:p>
          <w:p w14:paraId="7435B8D9" w14:textId="55D8E6D6" w:rsidR="00903489" w:rsidRPr="00147A77" w:rsidRDefault="00155E89" w:rsidP="00903489">
            <w:pPr>
              <w:rPr>
                <w:rFonts w:ascii="Arial" w:hAnsi="Arial" w:cs="Arial"/>
                <w:sz w:val="20"/>
              </w:rPr>
            </w:pPr>
            <w:r w:rsidRPr="00147A77">
              <w:rPr>
                <w:rFonts w:ascii="Arial" w:hAnsi="Arial" w:cs="Arial"/>
                <w:sz w:val="20"/>
              </w:rPr>
              <w:t xml:space="preserve">Equities – </w:t>
            </w:r>
            <w:r w:rsidR="00BF12AC">
              <w:rPr>
                <w:rFonts w:ascii="Arial" w:hAnsi="Arial" w:cs="Arial"/>
                <w:sz w:val="20"/>
              </w:rPr>
              <w:t>S</w:t>
            </w:r>
            <w:r w:rsidRPr="00147A77">
              <w:rPr>
                <w:rFonts w:ascii="Arial" w:hAnsi="Arial" w:cs="Arial"/>
                <w:sz w:val="20"/>
              </w:rPr>
              <w:t>hares</w:t>
            </w:r>
            <w:r w:rsidR="00BF12AC">
              <w:rPr>
                <w:rFonts w:ascii="Arial" w:hAnsi="Arial" w:cs="Arial"/>
                <w:sz w:val="20"/>
              </w:rPr>
              <w:t xml:space="preserve">, </w:t>
            </w:r>
            <w:r w:rsidRPr="00147A77">
              <w:rPr>
                <w:rFonts w:ascii="Arial" w:hAnsi="Arial" w:cs="Arial"/>
                <w:sz w:val="20"/>
              </w:rPr>
              <w:t>Depositary Receipts</w:t>
            </w:r>
            <w:r w:rsidR="00BF12AC">
              <w:rPr>
                <w:rFonts w:ascii="Arial" w:hAnsi="Arial" w:cs="Arial"/>
                <w:sz w:val="20"/>
              </w:rPr>
              <w:t xml:space="preserve"> and CFDs</w:t>
            </w:r>
            <w:r w:rsidRPr="00147A77">
              <w:rPr>
                <w:rFonts w:ascii="Arial" w:hAnsi="Arial" w:cs="Arial"/>
                <w:sz w:val="20"/>
              </w:rPr>
              <w:t>:</w:t>
            </w:r>
          </w:p>
          <w:p w14:paraId="38AE66A6" w14:textId="77777777" w:rsidR="004B255C" w:rsidRPr="00147A77" w:rsidRDefault="004B255C">
            <w:pPr>
              <w:rPr>
                <w:rFonts w:ascii="Arial" w:hAnsi="Arial" w:cs="Arial"/>
                <w:sz w:val="20"/>
              </w:rPr>
            </w:pPr>
            <w:r w:rsidRPr="00147A77">
              <w:rPr>
                <w:rFonts w:ascii="Arial" w:hAnsi="Arial" w:cs="Arial"/>
                <w:sz w:val="20"/>
              </w:rPr>
              <w:t>Equity Derivatives</w:t>
            </w:r>
          </w:p>
          <w:p w14:paraId="15A4B62A" w14:textId="77777777" w:rsidR="004B255C" w:rsidRPr="00147A77" w:rsidRDefault="004B255C" w:rsidP="003A2C9F">
            <w:pPr>
              <w:pStyle w:val="Bulletedlist1"/>
              <w:rPr>
                <w:sz w:val="20"/>
              </w:rPr>
            </w:pPr>
            <w:r w:rsidRPr="00147A77">
              <w:rPr>
                <w:sz w:val="20"/>
              </w:rPr>
              <w:t>Options and futures admitted to trading on a trading venue</w:t>
            </w:r>
          </w:p>
          <w:p w14:paraId="19B5DBBD" w14:textId="77777777" w:rsidR="007672BE" w:rsidRPr="00147A77" w:rsidRDefault="007672BE">
            <w:pPr>
              <w:rPr>
                <w:rFonts w:ascii="Arial" w:hAnsi="Arial" w:cs="Arial"/>
                <w:sz w:val="20"/>
              </w:rPr>
            </w:pPr>
            <w:r w:rsidRPr="00147A77">
              <w:rPr>
                <w:rFonts w:ascii="Arial" w:hAnsi="Arial" w:cs="Arial"/>
                <w:sz w:val="20"/>
              </w:rPr>
              <w:t>Debt instruments</w:t>
            </w:r>
          </w:p>
          <w:p w14:paraId="66721B9A" w14:textId="5D329314" w:rsidR="00155E89" w:rsidRPr="00147A77" w:rsidRDefault="005B060E" w:rsidP="00147A77">
            <w:pPr>
              <w:pStyle w:val="Bulletedlist1"/>
              <w:rPr>
                <w:sz w:val="20"/>
              </w:rPr>
            </w:pPr>
            <w:r w:rsidRPr="00147A77">
              <w:rPr>
                <w:sz w:val="20"/>
              </w:rPr>
              <w:t>Bonds</w:t>
            </w:r>
            <w:r w:rsidR="00BF12AC">
              <w:rPr>
                <w:sz w:val="20"/>
              </w:rPr>
              <w:t xml:space="preserve"> and Convertible Bonds</w:t>
            </w:r>
          </w:p>
        </w:tc>
      </w:tr>
      <w:tr w:rsidR="00D43B3D" w:rsidRPr="00147A77" w14:paraId="69126500" w14:textId="77777777" w:rsidTr="00147A77">
        <w:tc>
          <w:tcPr>
            <w:tcW w:w="2109" w:type="dxa"/>
          </w:tcPr>
          <w:p w14:paraId="21A99D23" w14:textId="77777777" w:rsidR="00D43B3D" w:rsidRPr="00147A77" w:rsidRDefault="00D43B3D">
            <w:pPr>
              <w:rPr>
                <w:rFonts w:ascii="Arial" w:hAnsi="Arial" w:cs="Arial"/>
                <w:b/>
                <w:sz w:val="20"/>
              </w:rPr>
            </w:pPr>
            <w:r w:rsidRPr="00147A77">
              <w:rPr>
                <w:rFonts w:ascii="Arial" w:hAnsi="Arial" w:cs="Arial"/>
                <w:b/>
                <w:sz w:val="20"/>
              </w:rPr>
              <w:t>Quantitative disclosure</w:t>
            </w:r>
          </w:p>
        </w:tc>
        <w:tc>
          <w:tcPr>
            <w:tcW w:w="13279" w:type="dxa"/>
          </w:tcPr>
          <w:p w14:paraId="02FE1904" w14:textId="77777777" w:rsidR="00D43B3D" w:rsidRPr="00147A77" w:rsidRDefault="00D43B3D">
            <w:pPr>
              <w:rPr>
                <w:rFonts w:ascii="Arial" w:hAnsi="Arial" w:cs="Arial"/>
                <w:sz w:val="20"/>
              </w:rPr>
            </w:pPr>
            <w:r w:rsidRPr="00147A77">
              <w:rPr>
                <w:rFonts w:ascii="Arial" w:hAnsi="Arial" w:cs="Arial"/>
                <w:sz w:val="20"/>
              </w:rPr>
              <w:t>Petrus’ qualitative report should be read in conjunction with Petrus’</w:t>
            </w:r>
            <w:r w:rsidR="006C3508" w:rsidRPr="00147A77">
              <w:rPr>
                <w:rFonts w:ascii="Arial" w:hAnsi="Arial" w:cs="Arial"/>
                <w:sz w:val="20"/>
              </w:rPr>
              <w:t xml:space="preserve"> quantitative disclosure in which Petrus published the top five execution brokers for each of the relevant instrument classes. </w:t>
            </w:r>
          </w:p>
        </w:tc>
      </w:tr>
    </w:tbl>
    <w:p w14:paraId="01B993D6" w14:textId="77777777" w:rsidR="00DE2683" w:rsidRPr="003A2C9F" w:rsidRDefault="00DE2683">
      <w:pPr>
        <w:rPr>
          <w:rFonts w:ascii="Arial" w:hAnsi="Arial" w:cs="Arial"/>
        </w:rPr>
      </w:pPr>
    </w:p>
    <w:p w14:paraId="2099D10D" w14:textId="77777777" w:rsidR="00FF2ACC" w:rsidRPr="003A2C9F" w:rsidRDefault="00FF2ACC" w:rsidP="00147A77">
      <w:pPr>
        <w:pStyle w:val="berschrift1"/>
      </w:pPr>
      <w:r w:rsidRPr="003A2C9F">
        <w:t>Qualitative disclosure:</w:t>
      </w:r>
    </w:p>
    <w:tbl>
      <w:tblPr>
        <w:tblStyle w:val="Tabellenraster"/>
        <w:tblW w:w="0" w:type="auto"/>
        <w:tblLook w:val="04A0" w:firstRow="1" w:lastRow="0" w:firstColumn="1" w:lastColumn="0" w:noHBand="0" w:noVBand="1"/>
      </w:tblPr>
      <w:tblGrid>
        <w:gridCol w:w="2115"/>
        <w:gridCol w:w="6811"/>
        <w:gridCol w:w="6462"/>
      </w:tblGrid>
      <w:tr w:rsidR="0003774C" w:rsidRPr="00147A77" w14:paraId="36147138" w14:textId="77777777" w:rsidTr="008C753C">
        <w:tc>
          <w:tcPr>
            <w:tcW w:w="2115" w:type="dxa"/>
            <w:shd w:val="clear" w:color="auto" w:fill="8DBCED" w:themeFill="accent2" w:themeFillTint="99"/>
          </w:tcPr>
          <w:p w14:paraId="47F5A40F" w14:textId="77777777" w:rsidR="0003774C" w:rsidRPr="008B65F5" w:rsidRDefault="0003774C" w:rsidP="002108E0">
            <w:pPr>
              <w:rPr>
                <w:rFonts w:ascii="Arial" w:hAnsi="Arial" w:cs="Arial"/>
                <w:b/>
                <w:sz w:val="20"/>
              </w:rPr>
            </w:pPr>
            <w:r w:rsidRPr="008B65F5">
              <w:rPr>
                <w:rFonts w:ascii="Arial" w:hAnsi="Arial" w:cs="Arial"/>
                <w:b/>
                <w:sz w:val="20"/>
              </w:rPr>
              <w:t>Class of Instrument</w:t>
            </w:r>
          </w:p>
        </w:tc>
        <w:tc>
          <w:tcPr>
            <w:tcW w:w="13273" w:type="dxa"/>
            <w:gridSpan w:val="2"/>
            <w:tcBorders>
              <w:bottom w:val="single" w:sz="4" w:space="0" w:color="auto"/>
            </w:tcBorders>
            <w:shd w:val="clear" w:color="auto" w:fill="8DBCED" w:themeFill="accent2" w:themeFillTint="99"/>
          </w:tcPr>
          <w:p w14:paraId="35A3A01A" w14:textId="77777777" w:rsidR="0003774C" w:rsidRPr="00147A77" w:rsidRDefault="0003774C">
            <w:pPr>
              <w:rPr>
                <w:rFonts w:ascii="Arial" w:hAnsi="Arial" w:cs="Arial"/>
                <w:sz w:val="20"/>
              </w:rPr>
            </w:pPr>
            <w:r w:rsidRPr="00147A77">
              <w:rPr>
                <w:rFonts w:ascii="Arial" w:hAnsi="Arial" w:cs="Arial"/>
                <w:sz w:val="20"/>
              </w:rPr>
              <w:t>Equities</w:t>
            </w:r>
          </w:p>
          <w:p w14:paraId="1E397D8D" w14:textId="77777777" w:rsidR="00850AAF" w:rsidRPr="00850AAF" w:rsidRDefault="0003774C" w:rsidP="003A2C9F">
            <w:pPr>
              <w:pStyle w:val="Bulletedlist1"/>
              <w:rPr>
                <w:sz w:val="20"/>
              </w:rPr>
            </w:pPr>
            <w:r w:rsidRPr="00147A77">
              <w:rPr>
                <w:sz w:val="20"/>
              </w:rPr>
              <w:t>Shares</w:t>
            </w:r>
            <w:r w:rsidR="00E7204B">
              <w:rPr>
                <w:sz w:val="20"/>
              </w:rPr>
              <w:t>,</w:t>
            </w:r>
            <w:r w:rsidRPr="00147A77">
              <w:rPr>
                <w:sz w:val="20"/>
              </w:rPr>
              <w:t xml:space="preserve"> Depositary Receipts</w:t>
            </w:r>
            <w:r w:rsidR="00E7204B">
              <w:rPr>
                <w:sz w:val="20"/>
              </w:rPr>
              <w:t xml:space="preserve"> and CFDs</w:t>
            </w:r>
          </w:p>
          <w:p w14:paraId="6141D850" w14:textId="1E924DBD" w:rsidR="0003774C" w:rsidRPr="00147A77" w:rsidRDefault="0003774C" w:rsidP="00850AAF">
            <w:pPr>
              <w:pStyle w:val="Bulletedlist1"/>
              <w:numPr>
                <w:ilvl w:val="0"/>
                <w:numId w:val="0"/>
              </w:numPr>
              <w:ind w:left="720"/>
              <w:rPr>
                <w:sz w:val="20"/>
              </w:rPr>
            </w:pPr>
          </w:p>
        </w:tc>
      </w:tr>
      <w:tr w:rsidR="003B6A63" w:rsidRPr="00147A77" w14:paraId="46C8F970" w14:textId="77777777" w:rsidTr="008C753C">
        <w:tc>
          <w:tcPr>
            <w:tcW w:w="2115" w:type="dxa"/>
          </w:tcPr>
          <w:p w14:paraId="49484A5C" w14:textId="77777777" w:rsidR="003B6A63" w:rsidRPr="00147A77" w:rsidRDefault="003B6A63" w:rsidP="00147A77">
            <w:pPr>
              <w:rPr>
                <w:rFonts w:ascii="Arial" w:hAnsi="Arial" w:cs="Arial"/>
                <w:b/>
                <w:sz w:val="20"/>
              </w:rPr>
            </w:pPr>
          </w:p>
        </w:tc>
        <w:tc>
          <w:tcPr>
            <w:tcW w:w="6811" w:type="dxa"/>
            <w:shd w:val="clear" w:color="auto" w:fill="D9D9D9" w:themeFill="background1" w:themeFillShade="D9"/>
          </w:tcPr>
          <w:p w14:paraId="75597D2A" w14:textId="77777777" w:rsidR="003B6A63" w:rsidRPr="00147A77" w:rsidRDefault="003B6A63" w:rsidP="00147A77">
            <w:pPr>
              <w:rPr>
                <w:rFonts w:ascii="Arial" w:hAnsi="Arial" w:cs="Arial"/>
                <w:b/>
                <w:sz w:val="20"/>
              </w:rPr>
            </w:pPr>
            <w:r w:rsidRPr="00147A77">
              <w:rPr>
                <w:rFonts w:ascii="Arial" w:hAnsi="Arial" w:cs="Arial"/>
                <w:b/>
                <w:sz w:val="20"/>
              </w:rPr>
              <w:t>Summary</w:t>
            </w:r>
          </w:p>
        </w:tc>
        <w:tc>
          <w:tcPr>
            <w:tcW w:w="6462" w:type="dxa"/>
            <w:shd w:val="clear" w:color="auto" w:fill="D9D9D9" w:themeFill="background1" w:themeFillShade="D9"/>
          </w:tcPr>
          <w:p w14:paraId="0523BAFC" w14:textId="77777777" w:rsidR="003B6A63" w:rsidRPr="00147A77" w:rsidRDefault="003B6A63" w:rsidP="00147A77">
            <w:pPr>
              <w:rPr>
                <w:rFonts w:ascii="Arial" w:hAnsi="Arial" w:cs="Arial"/>
                <w:b/>
                <w:sz w:val="20"/>
              </w:rPr>
            </w:pPr>
            <w:r w:rsidRPr="00147A77">
              <w:rPr>
                <w:rFonts w:ascii="Arial" w:hAnsi="Arial" w:cs="Arial"/>
                <w:b/>
                <w:sz w:val="20"/>
              </w:rPr>
              <w:t>Conclusion</w:t>
            </w:r>
          </w:p>
        </w:tc>
      </w:tr>
      <w:tr w:rsidR="007623CF" w:rsidRPr="00147A77" w14:paraId="6D12BA00" w14:textId="77777777" w:rsidTr="00147A77">
        <w:tc>
          <w:tcPr>
            <w:tcW w:w="2115" w:type="dxa"/>
          </w:tcPr>
          <w:p w14:paraId="271617C1" w14:textId="77777777" w:rsidR="007623CF" w:rsidRPr="00147A77" w:rsidRDefault="0003774C">
            <w:pPr>
              <w:rPr>
                <w:rFonts w:ascii="Arial" w:hAnsi="Arial" w:cs="Arial"/>
                <w:b/>
                <w:sz w:val="20"/>
              </w:rPr>
            </w:pPr>
            <w:r w:rsidRPr="00147A77">
              <w:rPr>
                <w:rFonts w:ascii="Arial" w:hAnsi="Arial" w:cs="Arial"/>
                <w:b/>
                <w:sz w:val="20"/>
              </w:rPr>
              <w:t>Execution factors</w:t>
            </w:r>
          </w:p>
        </w:tc>
        <w:tc>
          <w:tcPr>
            <w:tcW w:w="6811" w:type="dxa"/>
          </w:tcPr>
          <w:p w14:paraId="159A0754" w14:textId="77777777" w:rsidR="00D3235D" w:rsidRPr="00147A77" w:rsidRDefault="003B6A63" w:rsidP="00661184">
            <w:pPr>
              <w:rPr>
                <w:rFonts w:ascii="Arial" w:hAnsi="Arial" w:cs="Arial"/>
                <w:sz w:val="20"/>
              </w:rPr>
            </w:pPr>
            <w:r w:rsidRPr="00147A77">
              <w:rPr>
                <w:rFonts w:ascii="Arial" w:hAnsi="Arial" w:cs="Arial"/>
                <w:sz w:val="20"/>
              </w:rPr>
              <w:t>Petrus take into account various factors that affect execution of an order and assess the most appropriate way to do so. Since no</w:t>
            </w:r>
            <w:r w:rsidR="00661184" w:rsidRPr="00147A77">
              <w:rPr>
                <w:rFonts w:ascii="Arial" w:hAnsi="Arial" w:cs="Arial"/>
                <w:sz w:val="20"/>
              </w:rPr>
              <w:t>t</w:t>
            </w:r>
            <w:r w:rsidRPr="00147A77">
              <w:rPr>
                <w:rFonts w:ascii="Arial" w:hAnsi="Arial" w:cs="Arial"/>
                <w:sz w:val="20"/>
              </w:rPr>
              <w:t xml:space="preserve"> all </w:t>
            </w:r>
            <w:r w:rsidR="00661184" w:rsidRPr="00147A77">
              <w:rPr>
                <w:rFonts w:ascii="Arial" w:hAnsi="Arial" w:cs="Arial"/>
                <w:sz w:val="20"/>
              </w:rPr>
              <w:t xml:space="preserve">the factors are equally weighted, Petrus </w:t>
            </w:r>
            <w:r w:rsidR="00423EB3" w:rsidRPr="00147A77">
              <w:rPr>
                <w:rFonts w:ascii="Arial" w:hAnsi="Arial" w:cs="Arial"/>
                <w:sz w:val="20"/>
              </w:rPr>
              <w:t xml:space="preserve">factored in </w:t>
            </w:r>
            <w:r w:rsidRPr="00147A77">
              <w:rPr>
                <w:rFonts w:ascii="Arial" w:hAnsi="Arial" w:cs="Arial"/>
                <w:sz w:val="20"/>
              </w:rPr>
              <w:t xml:space="preserve">the relative importance of </w:t>
            </w:r>
            <w:r w:rsidR="00661184" w:rsidRPr="00147A77">
              <w:rPr>
                <w:rFonts w:ascii="Arial" w:hAnsi="Arial" w:cs="Arial"/>
                <w:sz w:val="20"/>
              </w:rPr>
              <w:t xml:space="preserve">the execution </w:t>
            </w:r>
            <w:r w:rsidR="00423EB3" w:rsidRPr="00147A77">
              <w:rPr>
                <w:rFonts w:ascii="Arial" w:hAnsi="Arial" w:cs="Arial"/>
                <w:sz w:val="20"/>
              </w:rPr>
              <w:t>by</w:t>
            </w:r>
            <w:r w:rsidR="00661184" w:rsidRPr="00147A77">
              <w:rPr>
                <w:rFonts w:ascii="Arial" w:hAnsi="Arial" w:cs="Arial"/>
                <w:sz w:val="20"/>
              </w:rPr>
              <w:t xml:space="preserve"> </w:t>
            </w:r>
          </w:p>
          <w:p w14:paraId="5117EE8B" w14:textId="77777777" w:rsidR="00D04045" w:rsidRPr="00147A77" w:rsidRDefault="00661184" w:rsidP="003A2C9F">
            <w:pPr>
              <w:pStyle w:val="Bulletedlist1"/>
              <w:rPr>
                <w:sz w:val="20"/>
              </w:rPr>
            </w:pPr>
            <w:r w:rsidRPr="00147A77">
              <w:rPr>
                <w:sz w:val="20"/>
              </w:rPr>
              <w:t>the characteristics of the order including:</w:t>
            </w:r>
          </w:p>
          <w:p w14:paraId="1E2719D9" w14:textId="77777777" w:rsidR="00661184" w:rsidRPr="00147A77" w:rsidRDefault="00661184" w:rsidP="00661184">
            <w:pPr>
              <w:pStyle w:val="Listenabsatz"/>
              <w:numPr>
                <w:ilvl w:val="0"/>
                <w:numId w:val="5"/>
              </w:numPr>
              <w:rPr>
                <w:rFonts w:ascii="Arial" w:hAnsi="Arial" w:cs="Arial"/>
                <w:sz w:val="20"/>
              </w:rPr>
            </w:pPr>
            <w:r w:rsidRPr="00147A77">
              <w:rPr>
                <w:rFonts w:ascii="Arial" w:hAnsi="Arial" w:cs="Arial"/>
                <w:sz w:val="20"/>
              </w:rPr>
              <w:t xml:space="preserve">Speed of execution, size </w:t>
            </w:r>
            <w:r w:rsidR="00A068A5" w:rsidRPr="00147A77">
              <w:rPr>
                <w:rFonts w:ascii="Arial" w:hAnsi="Arial" w:cs="Arial"/>
                <w:sz w:val="20"/>
              </w:rPr>
              <w:t>and skill</w:t>
            </w:r>
            <w:r w:rsidRPr="00147A77">
              <w:rPr>
                <w:rFonts w:ascii="Arial" w:hAnsi="Arial" w:cs="Arial"/>
                <w:sz w:val="20"/>
              </w:rPr>
              <w:t xml:space="preserve"> in order to avoid the order having a detrimental impact on the price of the shares</w:t>
            </w:r>
          </w:p>
          <w:p w14:paraId="5D175B05" w14:textId="77777777" w:rsidR="00661184" w:rsidRPr="00147A77" w:rsidRDefault="00661184" w:rsidP="00661184">
            <w:pPr>
              <w:pStyle w:val="Listenabsatz"/>
              <w:numPr>
                <w:ilvl w:val="0"/>
                <w:numId w:val="5"/>
              </w:numPr>
              <w:rPr>
                <w:rFonts w:ascii="Arial" w:hAnsi="Arial" w:cs="Arial"/>
                <w:sz w:val="20"/>
              </w:rPr>
            </w:pPr>
            <w:r w:rsidRPr="00147A77">
              <w:rPr>
                <w:rFonts w:ascii="Arial" w:hAnsi="Arial" w:cs="Arial"/>
                <w:sz w:val="20"/>
              </w:rPr>
              <w:t>Likelihood</w:t>
            </w:r>
            <w:r w:rsidR="00A068A5" w:rsidRPr="00147A77">
              <w:rPr>
                <w:rFonts w:ascii="Arial" w:hAnsi="Arial" w:cs="Arial"/>
                <w:sz w:val="20"/>
              </w:rPr>
              <w:t xml:space="preserve"> of execution or settlement in less-liquid securities</w:t>
            </w:r>
          </w:p>
          <w:p w14:paraId="640BA9B4" w14:textId="4B418088" w:rsidR="00661184" w:rsidRPr="00147A77" w:rsidRDefault="00A068A5" w:rsidP="00661184">
            <w:pPr>
              <w:pStyle w:val="Listenabsatz"/>
              <w:numPr>
                <w:ilvl w:val="0"/>
                <w:numId w:val="5"/>
              </w:numPr>
              <w:rPr>
                <w:rFonts w:ascii="Arial" w:hAnsi="Arial" w:cs="Arial"/>
                <w:sz w:val="20"/>
              </w:rPr>
            </w:pPr>
            <w:r w:rsidRPr="00147A77">
              <w:rPr>
                <w:rFonts w:ascii="Arial" w:hAnsi="Arial" w:cs="Arial"/>
                <w:sz w:val="20"/>
              </w:rPr>
              <w:t>where the order involves a securities financing transaction such as a short sale or swap</w:t>
            </w:r>
          </w:p>
          <w:p w14:paraId="2E7A44E5" w14:textId="77777777" w:rsidR="00D3235D" w:rsidRPr="00147A77" w:rsidRDefault="00AE6F12" w:rsidP="003A2C9F">
            <w:pPr>
              <w:pStyle w:val="Bulletedlist1"/>
              <w:rPr>
                <w:sz w:val="20"/>
              </w:rPr>
            </w:pPr>
            <w:r w:rsidRPr="00147A77">
              <w:rPr>
                <w:sz w:val="20"/>
              </w:rPr>
              <w:t>t</w:t>
            </w:r>
            <w:r w:rsidR="00D3235D" w:rsidRPr="00147A77">
              <w:rPr>
                <w:sz w:val="20"/>
              </w:rPr>
              <w:t>he characteristics of the broker to whom the order can be directed</w:t>
            </w:r>
          </w:p>
          <w:p w14:paraId="76CF29B8" w14:textId="07440167" w:rsidR="003B6A63" w:rsidRPr="00147A77" w:rsidRDefault="00AE6F12" w:rsidP="00147A77">
            <w:pPr>
              <w:pStyle w:val="Bulletedlist1"/>
              <w:rPr>
                <w:sz w:val="20"/>
              </w:rPr>
            </w:pPr>
            <w:r w:rsidRPr="00147A77">
              <w:rPr>
                <w:sz w:val="20"/>
              </w:rPr>
              <w:t>t</w:t>
            </w:r>
            <w:r w:rsidR="00D3235D" w:rsidRPr="00147A77">
              <w:rPr>
                <w:sz w:val="20"/>
              </w:rPr>
              <w:t>he characteristics of</w:t>
            </w:r>
            <w:r w:rsidR="00593042" w:rsidRPr="00147A77">
              <w:rPr>
                <w:sz w:val="20"/>
              </w:rPr>
              <w:t xml:space="preserve"> the financial instrument of a</w:t>
            </w:r>
            <w:r w:rsidR="00D3235D" w:rsidRPr="00147A77">
              <w:rPr>
                <w:sz w:val="20"/>
              </w:rPr>
              <w:t xml:space="preserve"> particular order</w:t>
            </w:r>
          </w:p>
        </w:tc>
        <w:tc>
          <w:tcPr>
            <w:tcW w:w="6462" w:type="dxa"/>
          </w:tcPr>
          <w:p w14:paraId="04805F06" w14:textId="77777777" w:rsidR="007623CF" w:rsidRPr="00147A77" w:rsidRDefault="00043E38">
            <w:pPr>
              <w:rPr>
                <w:rFonts w:ascii="Arial" w:hAnsi="Arial" w:cs="Arial"/>
                <w:sz w:val="20"/>
              </w:rPr>
            </w:pPr>
            <w:r w:rsidRPr="00147A77">
              <w:rPr>
                <w:rFonts w:ascii="Arial" w:hAnsi="Arial" w:cs="Arial"/>
                <w:sz w:val="20"/>
              </w:rPr>
              <w:t>The relative importance given to the execution factors was in line with Petrus’ Order and Best Execution Policy</w:t>
            </w:r>
            <w:r w:rsidR="00FF6F80" w:rsidRPr="00147A77">
              <w:rPr>
                <w:rFonts w:ascii="Arial" w:hAnsi="Arial" w:cs="Arial"/>
                <w:sz w:val="20"/>
              </w:rPr>
              <w:t>.</w:t>
            </w:r>
          </w:p>
          <w:p w14:paraId="4BCA214D" w14:textId="77777777" w:rsidR="00FF6F80" w:rsidRPr="00147A77" w:rsidRDefault="00FF6F80">
            <w:pPr>
              <w:rPr>
                <w:rFonts w:ascii="Arial" w:hAnsi="Arial" w:cs="Arial"/>
                <w:sz w:val="20"/>
              </w:rPr>
            </w:pPr>
          </w:p>
          <w:p w14:paraId="246C62B0" w14:textId="1FDB6A11" w:rsidR="00FF6F80" w:rsidRPr="00147A77" w:rsidRDefault="00423EB3">
            <w:pPr>
              <w:rPr>
                <w:rFonts w:ascii="Arial" w:hAnsi="Arial" w:cs="Arial"/>
                <w:sz w:val="20"/>
              </w:rPr>
            </w:pPr>
            <w:r w:rsidRPr="00147A77">
              <w:rPr>
                <w:rFonts w:ascii="Arial" w:hAnsi="Arial" w:cs="Arial"/>
                <w:sz w:val="20"/>
              </w:rPr>
              <w:t xml:space="preserve">Petrus have mostly put precedence on price </w:t>
            </w:r>
            <w:r w:rsidR="00C80290" w:rsidRPr="00147A77">
              <w:rPr>
                <w:rFonts w:ascii="Arial" w:hAnsi="Arial" w:cs="Arial"/>
                <w:sz w:val="20"/>
              </w:rPr>
              <w:t xml:space="preserve">and likelihood of execution in less-liquid securities </w:t>
            </w:r>
            <w:r w:rsidRPr="00147A77">
              <w:rPr>
                <w:rFonts w:ascii="Arial" w:hAnsi="Arial" w:cs="Arial"/>
                <w:sz w:val="20"/>
              </w:rPr>
              <w:t xml:space="preserve">as the most </w:t>
            </w:r>
            <w:r w:rsidR="00A502DD" w:rsidRPr="00147A77">
              <w:rPr>
                <w:rFonts w:ascii="Arial" w:hAnsi="Arial" w:cs="Arial"/>
                <w:sz w:val="20"/>
              </w:rPr>
              <w:t>important execution factor</w:t>
            </w:r>
            <w:r w:rsidRPr="00147A77">
              <w:rPr>
                <w:rFonts w:ascii="Arial" w:hAnsi="Arial" w:cs="Arial"/>
                <w:sz w:val="20"/>
              </w:rPr>
              <w:t>.</w:t>
            </w:r>
            <w:r w:rsidR="00A502DD" w:rsidRPr="00147A77">
              <w:rPr>
                <w:rFonts w:ascii="Arial" w:hAnsi="Arial" w:cs="Arial"/>
                <w:sz w:val="20"/>
              </w:rPr>
              <w:t xml:space="preserve"> </w:t>
            </w:r>
            <w:r w:rsidRPr="00147A77">
              <w:rPr>
                <w:rFonts w:ascii="Arial" w:hAnsi="Arial" w:cs="Arial"/>
                <w:sz w:val="20"/>
              </w:rPr>
              <w:t>P</w:t>
            </w:r>
            <w:r w:rsidR="00A502DD" w:rsidRPr="00147A77">
              <w:rPr>
                <w:rFonts w:ascii="Arial" w:hAnsi="Arial" w:cs="Arial"/>
                <w:sz w:val="20"/>
              </w:rPr>
              <w:t xml:space="preserve">etrus’ </w:t>
            </w:r>
            <w:r w:rsidR="00E7204B">
              <w:rPr>
                <w:rFonts w:ascii="Arial" w:hAnsi="Arial" w:cs="Arial"/>
                <w:sz w:val="20"/>
              </w:rPr>
              <w:t xml:space="preserve">overall </w:t>
            </w:r>
            <w:r w:rsidR="00A502DD" w:rsidRPr="00147A77">
              <w:rPr>
                <w:rFonts w:ascii="Arial" w:hAnsi="Arial" w:cs="Arial"/>
                <w:sz w:val="20"/>
              </w:rPr>
              <w:t>strategy</w:t>
            </w:r>
            <w:r w:rsidR="00BB3562" w:rsidRPr="00147A77">
              <w:rPr>
                <w:rFonts w:ascii="Arial" w:hAnsi="Arial" w:cs="Arial"/>
                <w:sz w:val="20"/>
              </w:rPr>
              <w:t xml:space="preserve"> </w:t>
            </w:r>
            <w:r w:rsidR="00E7204B">
              <w:rPr>
                <w:rFonts w:ascii="Arial" w:hAnsi="Arial" w:cs="Arial"/>
                <w:sz w:val="20"/>
              </w:rPr>
              <w:t>fulfilled</w:t>
            </w:r>
            <w:r w:rsidR="00A502DD" w:rsidRPr="00147A77">
              <w:rPr>
                <w:rFonts w:ascii="Arial" w:hAnsi="Arial" w:cs="Arial"/>
                <w:sz w:val="20"/>
              </w:rPr>
              <w:t xml:space="preserve"> best execution</w:t>
            </w:r>
            <w:r w:rsidR="00E7204B">
              <w:rPr>
                <w:rFonts w:ascii="Arial" w:hAnsi="Arial" w:cs="Arial"/>
                <w:sz w:val="20"/>
              </w:rPr>
              <w:t xml:space="preserve"> requirements</w:t>
            </w:r>
            <w:r w:rsidR="00A502DD" w:rsidRPr="00147A77">
              <w:rPr>
                <w:rFonts w:ascii="Arial" w:hAnsi="Arial" w:cs="Arial"/>
                <w:sz w:val="20"/>
              </w:rPr>
              <w:t xml:space="preserve"> for </w:t>
            </w:r>
            <w:r w:rsidR="00E7204B">
              <w:rPr>
                <w:rFonts w:ascii="Arial" w:hAnsi="Arial" w:cs="Arial"/>
                <w:sz w:val="20"/>
              </w:rPr>
              <w:t>its</w:t>
            </w:r>
            <w:r w:rsidR="00A502DD" w:rsidRPr="00147A77">
              <w:rPr>
                <w:rFonts w:ascii="Arial" w:hAnsi="Arial" w:cs="Arial"/>
                <w:sz w:val="20"/>
              </w:rPr>
              <w:t xml:space="preserve"> funds.</w:t>
            </w:r>
          </w:p>
        </w:tc>
      </w:tr>
    </w:tbl>
    <w:p w14:paraId="2B75ACDC" w14:textId="77777777" w:rsidR="00EA4001" w:rsidRDefault="00EA4001">
      <w:pPr>
        <w:rPr>
          <w:rFonts w:ascii="Arial" w:hAnsi="Arial" w:cs="Arial"/>
        </w:rPr>
      </w:pPr>
    </w:p>
    <w:p w14:paraId="02767775" w14:textId="1786DA69" w:rsidR="00FF2ACC" w:rsidRDefault="00201540">
      <w:pPr>
        <w:rPr>
          <w:rFonts w:ascii="Arial" w:hAnsi="Arial" w:cs="Arial"/>
        </w:rPr>
      </w:pPr>
      <w:r>
        <w:rPr>
          <w:noProof/>
          <w:lang w:val="en-US"/>
        </w:rPr>
        <w:lastRenderedPageBreak/>
        <w:drawing>
          <wp:inline distT="0" distB="0" distL="0" distR="0" wp14:anchorId="068D1E10" wp14:editId="6EC711A5">
            <wp:extent cx="2819400" cy="25717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19400" cy="257175"/>
                    </a:xfrm>
                    <a:prstGeom prst="rect">
                      <a:avLst/>
                    </a:prstGeom>
                    <a:noFill/>
                    <a:ln w="9525">
                      <a:noFill/>
                      <a:miter lim="800000"/>
                      <a:headEnd/>
                      <a:tailEnd/>
                    </a:ln>
                  </pic:spPr>
                </pic:pic>
              </a:graphicData>
            </a:graphic>
          </wp:inline>
        </w:drawing>
      </w:r>
    </w:p>
    <w:p w14:paraId="6A3225AD" w14:textId="77777777" w:rsidR="000014C0" w:rsidRDefault="000014C0">
      <w:pPr>
        <w:rPr>
          <w:rFonts w:ascii="Arial" w:hAnsi="Arial" w:cs="Arial"/>
        </w:rPr>
      </w:pPr>
    </w:p>
    <w:tbl>
      <w:tblPr>
        <w:tblStyle w:val="Tabellenraster"/>
        <w:tblW w:w="0" w:type="auto"/>
        <w:tblLayout w:type="fixed"/>
        <w:tblLook w:val="04A0" w:firstRow="1" w:lastRow="0" w:firstColumn="1" w:lastColumn="0" w:noHBand="0" w:noVBand="1"/>
      </w:tblPr>
      <w:tblGrid>
        <w:gridCol w:w="2095"/>
        <w:gridCol w:w="6463"/>
        <w:gridCol w:w="6830"/>
      </w:tblGrid>
      <w:tr w:rsidR="002108E0" w:rsidRPr="00147A77" w14:paraId="06964C40" w14:textId="77777777" w:rsidTr="008C753C">
        <w:tc>
          <w:tcPr>
            <w:tcW w:w="2095" w:type="dxa"/>
            <w:shd w:val="clear" w:color="auto" w:fill="8DBCED" w:themeFill="accent2" w:themeFillTint="99"/>
          </w:tcPr>
          <w:p w14:paraId="1F7DD07B" w14:textId="77777777" w:rsidR="002108E0" w:rsidRPr="00147A77" w:rsidRDefault="002108E0">
            <w:pPr>
              <w:rPr>
                <w:rFonts w:ascii="Arial" w:hAnsi="Arial" w:cs="Arial"/>
                <w:b/>
                <w:sz w:val="20"/>
              </w:rPr>
            </w:pPr>
            <w:r w:rsidRPr="00147A77">
              <w:rPr>
                <w:rFonts w:ascii="Arial" w:hAnsi="Arial" w:cs="Arial"/>
                <w:b/>
                <w:sz w:val="20"/>
              </w:rPr>
              <w:t>Class of Instrument</w:t>
            </w:r>
          </w:p>
        </w:tc>
        <w:tc>
          <w:tcPr>
            <w:tcW w:w="13293" w:type="dxa"/>
            <w:gridSpan w:val="2"/>
            <w:tcBorders>
              <w:bottom w:val="single" w:sz="4" w:space="0" w:color="auto"/>
            </w:tcBorders>
            <w:shd w:val="clear" w:color="auto" w:fill="8DBCED" w:themeFill="accent2" w:themeFillTint="99"/>
          </w:tcPr>
          <w:p w14:paraId="38B3C903" w14:textId="77777777" w:rsidR="002108E0" w:rsidRPr="00147A77" w:rsidRDefault="002108E0">
            <w:pPr>
              <w:rPr>
                <w:rFonts w:ascii="Arial" w:hAnsi="Arial" w:cs="Arial"/>
                <w:sz w:val="20"/>
              </w:rPr>
            </w:pPr>
            <w:r w:rsidRPr="00147A77">
              <w:rPr>
                <w:rFonts w:ascii="Arial" w:hAnsi="Arial" w:cs="Arial"/>
                <w:sz w:val="20"/>
              </w:rPr>
              <w:t>Equity Derivatives</w:t>
            </w:r>
          </w:p>
          <w:p w14:paraId="6433591F" w14:textId="77777777" w:rsidR="002108E0" w:rsidRPr="00147A77" w:rsidRDefault="002108E0" w:rsidP="003A2C9F">
            <w:pPr>
              <w:pStyle w:val="Bulletedlist1"/>
              <w:rPr>
                <w:sz w:val="20"/>
              </w:rPr>
            </w:pPr>
            <w:r w:rsidRPr="00147A77">
              <w:rPr>
                <w:sz w:val="20"/>
              </w:rPr>
              <w:t>Options and Futures admitted to trading on a trading venue</w:t>
            </w:r>
          </w:p>
          <w:p w14:paraId="20EEDCB8" w14:textId="79BAB036" w:rsidR="00B00038" w:rsidRPr="00147A77" w:rsidRDefault="00B00038" w:rsidP="00E7204B">
            <w:pPr>
              <w:pStyle w:val="Bulletedlist1"/>
              <w:numPr>
                <w:ilvl w:val="0"/>
                <w:numId w:val="0"/>
              </w:numPr>
              <w:ind w:left="360"/>
              <w:rPr>
                <w:sz w:val="20"/>
              </w:rPr>
            </w:pPr>
          </w:p>
        </w:tc>
      </w:tr>
      <w:tr w:rsidR="002108E0" w:rsidRPr="00147A77" w14:paraId="07D57752" w14:textId="77777777" w:rsidTr="008C753C">
        <w:tc>
          <w:tcPr>
            <w:tcW w:w="2095" w:type="dxa"/>
          </w:tcPr>
          <w:p w14:paraId="4EF7D8B7" w14:textId="77777777" w:rsidR="002108E0" w:rsidRPr="00147A77" w:rsidRDefault="002108E0">
            <w:pPr>
              <w:rPr>
                <w:rFonts w:ascii="Arial" w:hAnsi="Arial" w:cs="Arial"/>
                <w:b/>
                <w:sz w:val="20"/>
              </w:rPr>
            </w:pPr>
          </w:p>
        </w:tc>
        <w:tc>
          <w:tcPr>
            <w:tcW w:w="6463" w:type="dxa"/>
            <w:shd w:val="clear" w:color="auto" w:fill="D9D9D9" w:themeFill="background1" w:themeFillShade="D9"/>
          </w:tcPr>
          <w:p w14:paraId="1541B76E" w14:textId="77777777" w:rsidR="002108E0" w:rsidRPr="00147A77" w:rsidRDefault="00AE6F12">
            <w:pPr>
              <w:rPr>
                <w:rFonts w:ascii="Arial" w:hAnsi="Arial" w:cs="Arial"/>
                <w:b/>
                <w:sz w:val="20"/>
              </w:rPr>
            </w:pPr>
            <w:r w:rsidRPr="00147A77">
              <w:rPr>
                <w:rFonts w:ascii="Arial" w:hAnsi="Arial" w:cs="Arial"/>
                <w:b/>
                <w:sz w:val="20"/>
              </w:rPr>
              <w:t>Summary</w:t>
            </w:r>
          </w:p>
        </w:tc>
        <w:tc>
          <w:tcPr>
            <w:tcW w:w="6830" w:type="dxa"/>
            <w:shd w:val="clear" w:color="auto" w:fill="D9D9D9" w:themeFill="background1" w:themeFillShade="D9"/>
          </w:tcPr>
          <w:p w14:paraId="1526AD5D" w14:textId="77777777" w:rsidR="002108E0" w:rsidRPr="00147A77" w:rsidRDefault="00AE6F12">
            <w:pPr>
              <w:rPr>
                <w:rFonts w:ascii="Arial" w:hAnsi="Arial" w:cs="Arial"/>
                <w:b/>
                <w:sz w:val="20"/>
              </w:rPr>
            </w:pPr>
            <w:r w:rsidRPr="00147A77">
              <w:rPr>
                <w:rFonts w:ascii="Arial" w:hAnsi="Arial" w:cs="Arial"/>
                <w:b/>
                <w:sz w:val="20"/>
              </w:rPr>
              <w:t>Conclusion</w:t>
            </w:r>
          </w:p>
        </w:tc>
      </w:tr>
      <w:tr w:rsidR="002108E0" w:rsidRPr="00147A77" w14:paraId="2CC8F66D" w14:textId="77777777" w:rsidTr="003A2C9F">
        <w:tc>
          <w:tcPr>
            <w:tcW w:w="2095" w:type="dxa"/>
          </w:tcPr>
          <w:p w14:paraId="234F308D" w14:textId="77777777" w:rsidR="002108E0" w:rsidRPr="00147A77" w:rsidRDefault="00AE6F12">
            <w:pPr>
              <w:rPr>
                <w:rFonts w:ascii="Arial" w:hAnsi="Arial" w:cs="Arial"/>
                <w:b/>
                <w:sz w:val="20"/>
              </w:rPr>
            </w:pPr>
            <w:r w:rsidRPr="00147A77">
              <w:rPr>
                <w:rFonts w:ascii="Arial" w:hAnsi="Arial" w:cs="Arial"/>
                <w:b/>
                <w:sz w:val="20"/>
              </w:rPr>
              <w:t>Execution factors</w:t>
            </w:r>
          </w:p>
        </w:tc>
        <w:tc>
          <w:tcPr>
            <w:tcW w:w="6463" w:type="dxa"/>
          </w:tcPr>
          <w:p w14:paraId="300647B2" w14:textId="30D6C18A" w:rsidR="00334055" w:rsidRPr="00147A77" w:rsidRDefault="00A473D6">
            <w:pPr>
              <w:rPr>
                <w:rFonts w:ascii="Arial" w:hAnsi="Arial" w:cs="Arial"/>
                <w:sz w:val="20"/>
              </w:rPr>
            </w:pPr>
            <w:r w:rsidRPr="00147A77">
              <w:rPr>
                <w:rFonts w:ascii="Arial" w:hAnsi="Arial" w:cs="Arial"/>
                <w:sz w:val="20"/>
              </w:rPr>
              <w:t>Petrus determined the relative importance of the execution factors by the same criteria as for Equities</w:t>
            </w:r>
            <w:r w:rsidR="00E7204B">
              <w:rPr>
                <w:rFonts w:ascii="Arial" w:hAnsi="Arial" w:cs="Arial"/>
                <w:sz w:val="20"/>
              </w:rPr>
              <w:t>.</w:t>
            </w:r>
            <w:r w:rsidR="00334055" w:rsidRPr="00147A77">
              <w:rPr>
                <w:rFonts w:ascii="Arial" w:hAnsi="Arial" w:cs="Arial"/>
                <w:sz w:val="20"/>
              </w:rPr>
              <w:t>.</w:t>
            </w:r>
          </w:p>
          <w:p w14:paraId="7BF95386" w14:textId="77777777" w:rsidR="00334055" w:rsidRPr="00147A77" w:rsidRDefault="00334055">
            <w:pPr>
              <w:rPr>
                <w:rFonts w:ascii="Arial" w:hAnsi="Arial" w:cs="Arial"/>
                <w:sz w:val="20"/>
              </w:rPr>
            </w:pPr>
          </w:p>
          <w:p w14:paraId="336DF348" w14:textId="1C17A9A4" w:rsidR="002108E0" w:rsidRPr="00147A77" w:rsidRDefault="00334055">
            <w:pPr>
              <w:rPr>
                <w:rFonts w:ascii="Arial" w:hAnsi="Arial" w:cs="Arial"/>
                <w:sz w:val="20"/>
              </w:rPr>
            </w:pPr>
            <w:r w:rsidRPr="00147A77">
              <w:rPr>
                <w:rFonts w:ascii="Arial" w:hAnsi="Arial" w:cs="Arial"/>
                <w:sz w:val="20"/>
              </w:rPr>
              <w:t>Petrus determine</w:t>
            </w:r>
            <w:r w:rsidR="00E7204B">
              <w:rPr>
                <w:rFonts w:ascii="Arial" w:hAnsi="Arial" w:cs="Arial"/>
                <w:sz w:val="20"/>
              </w:rPr>
              <w:t>s</w:t>
            </w:r>
            <w:r w:rsidRPr="00147A77">
              <w:rPr>
                <w:rFonts w:ascii="Arial" w:hAnsi="Arial" w:cs="Arial"/>
                <w:sz w:val="20"/>
              </w:rPr>
              <w:t xml:space="preserve"> the relative importance of the execution factors by the same criteria as for Equities</w:t>
            </w:r>
            <w:r w:rsidR="00D94DF6" w:rsidRPr="00147A77">
              <w:rPr>
                <w:rFonts w:ascii="Arial" w:hAnsi="Arial" w:cs="Arial"/>
                <w:sz w:val="20"/>
              </w:rPr>
              <w:t>,</w:t>
            </w:r>
            <w:r w:rsidR="00E7204B">
              <w:rPr>
                <w:rFonts w:ascii="Arial" w:hAnsi="Arial" w:cs="Arial"/>
                <w:sz w:val="20"/>
              </w:rPr>
              <w:t xml:space="preserve"> </w:t>
            </w:r>
            <w:r w:rsidRPr="00147A77">
              <w:rPr>
                <w:rFonts w:ascii="Arial" w:hAnsi="Arial" w:cs="Arial"/>
                <w:sz w:val="20"/>
              </w:rPr>
              <w:t xml:space="preserve">albeit </w:t>
            </w:r>
            <w:r w:rsidR="00A473D6" w:rsidRPr="00147A77">
              <w:rPr>
                <w:rFonts w:ascii="Arial" w:hAnsi="Arial" w:cs="Arial"/>
                <w:sz w:val="20"/>
              </w:rPr>
              <w:t>subject to a smaller, limited list of a</w:t>
            </w:r>
            <w:r w:rsidRPr="00147A77">
              <w:rPr>
                <w:rFonts w:ascii="Arial" w:hAnsi="Arial" w:cs="Arial"/>
                <w:sz w:val="20"/>
              </w:rPr>
              <w:t>pproved derivative counterparties.</w:t>
            </w:r>
          </w:p>
          <w:p w14:paraId="07CA841C" w14:textId="3786BB24" w:rsidR="00A473D6" w:rsidRPr="00147A77" w:rsidRDefault="00A473D6" w:rsidP="00147A77">
            <w:pPr>
              <w:rPr>
                <w:rFonts w:ascii="Arial" w:hAnsi="Arial" w:cs="Arial"/>
                <w:sz w:val="20"/>
              </w:rPr>
            </w:pPr>
          </w:p>
        </w:tc>
        <w:tc>
          <w:tcPr>
            <w:tcW w:w="6830" w:type="dxa"/>
          </w:tcPr>
          <w:p w14:paraId="7F3AE961" w14:textId="77777777" w:rsidR="004620F8" w:rsidRPr="00147A77" w:rsidRDefault="004620F8" w:rsidP="004620F8">
            <w:pPr>
              <w:rPr>
                <w:rFonts w:ascii="Arial" w:hAnsi="Arial" w:cs="Arial"/>
                <w:sz w:val="20"/>
              </w:rPr>
            </w:pPr>
            <w:r w:rsidRPr="00147A77">
              <w:rPr>
                <w:rFonts w:ascii="Arial" w:hAnsi="Arial" w:cs="Arial"/>
                <w:sz w:val="20"/>
              </w:rPr>
              <w:t>The relative importance given to the execution factors was in line with Petrus’ Order and Best Execution Policy.</w:t>
            </w:r>
          </w:p>
          <w:p w14:paraId="12182BD2" w14:textId="77777777" w:rsidR="002108E0" w:rsidRPr="00147A77" w:rsidRDefault="002108E0">
            <w:pPr>
              <w:rPr>
                <w:rFonts w:ascii="Arial" w:hAnsi="Arial" w:cs="Arial"/>
                <w:sz w:val="20"/>
              </w:rPr>
            </w:pPr>
          </w:p>
          <w:p w14:paraId="77AEB45C" w14:textId="77777777" w:rsidR="0060240B" w:rsidRDefault="0060240B">
            <w:pPr>
              <w:rPr>
                <w:rFonts w:ascii="Arial" w:hAnsi="Arial" w:cs="Arial"/>
                <w:sz w:val="20"/>
              </w:rPr>
            </w:pPr>
          </w:p>
          <w:p w14:paraId="4455DB40" w14:textId="46C61E2F" w:rsidR="004620F8" w:rsidRPr="00147A77" w:rsidRDefault="004620F8">
            <w:pPr>
              <w:rPr>
                <w:rFonts w:ascii="Arial" w:hAnsi="Arial" w:cs="Arial"/>
                <w:sz w:val="20"/>
              </w:rPr>
            </w:pPr>
          </w:p>
        </w:tc>
      </w:tr>
    </w:tbl>
    <w:p w14:paraId="57643E09" w14:textId="77777777" w:rsidR="00A33519" w:rsidRPr="003A2C9F" w:rsidRDefault="00A33519">
      <w:pPr>
        <w:rPr>
          <w:rFonts w:ascii="Arial" w:hAnsi="Arial" w:cs="Arial"/>
        </w:rPr>
      </w:pPr>
    </w:p>
    <w:tbl>
      <w:tblPr>
        <w:tblStyle w:val="Tabellenraster"/>
        <w:tblW w:w="0" w:type="auto"/>
        <w:tblLayout w:type="fixed"/>
        <w:tblLook w:val="04A0" w:firstRow="1" w:lastRow="0" w:firstColumn="1" w:lastColumn="0" w:noHBand="0" w:noVBand="1"/>
      </w:tblPr>
      <w:tblGrid>
        <w:gridCol w:w="2109"/>
        <w:gridCol w:w="6467"/>
        <w:gridCol w:w="6812"/>
      </w:tblGrid>
      <w:tr w:rsidR="00A33519" w:rsidRPr="00147A77" w14:paraId="3604E6A4" w14:textId="77777777" w:rsidTr="008C753C">
        <w:tc>
          <w:tcPr>
            <w:tcW w:w="2109" w:type="dxa"/>
            <w:shd w:val="clear" w:color="auto" w:fill="8DBCED" w:themeFill="accent2" w:themeFillTint="99"/>
          </w:tcPr>
          <w:p w14:paraId="3BACC9E5" w14:textId="77777777" w:rsidR="00A33519" w:rsidRPr="00147A77" w:rsidRDefault="00A33519" w:rsidP="00D76281">
            <w:pPr>
              <w:rPr>
                <w:rFonts w:ascii="Arial" w:hAnsi="Arial" w:cs="Arial"/>
                <w:b/>
                <w:sz w:val="20"/>
              </w:rPr>
            </w:pPr>
            <w:r w:rsidRPr="00147A77">
              <w:rPr>
                <w:rFonts w:ascii="Arial" w:hAnsi="Arial" w:cs="Arial"/>
                <w:b/>
                <w:sz w:val="20"/>
              </w:rPr>
              <w:t>Class of Instrument</w:t>
            </w:r>
          </w:p>
        </w:tc>
        <w:tc>
          <w:tcPr>
            <w:tcW w:w="13279" w:type="dxa"/>
            <w:gridSpan w:val="2"/>
            <w:tcBorders>
              <w:bottom w:val="single" w:sz="4" w:space="0" w:color="auto"/>
            </w:tcBorders>
            <w:shd w:val="clear" w:color="auto" w:fill="8DBCED" w:themeFill="accent2" w:themeFillTint="99"/>
          </w:tcPr>
          <w:p w14:paraId="6ECA1BDF" w14:textId="77777777" w:rsidR="00A33519" w:rsidRPr="00147A77" w:rsidRDefault="00A33519" w:rsidP="00D76281">
            <w:pPr>
              <w:rPr>
                <w:rFonts w:ascii="Arial" w:hAnsi="Arial" w:cs="Arial"/>
                <w:sz w:val="20"/>
              </w:rPr>
            </w:pPr>
            <w:r w:rsidRPr="00147A77">
              <w:rPr>
                <w:rFonts w:ascii="Arial" w:hAnsi="Arial" w:cs="Arial"/>
                <w:sz w:val="20"/>
              </w:rPr>
              <w:t>Debt Instruments</w:t>
            </w:r>
          </w:p>
          <w:p w14:paraId="5A9C375E" w14:textId="5CDC907F" w:rsidR="00A33519" w:rsidRPr="00147A77" w:rsidRDefault="00A33519" w:rsidP="00A33519">
            <w:pPr>
              <w:pStyle w:val="Listenabsatz"/>
              <w:numPr>
                <w:ilvl w:val="0"/>
                <w:numId w:val="8"/>
              </w:numPr>
              <w:rPr>
                <w:rFonts w:ascii="Arial" w:hAnsi="Arial" w:cs="Arial"/>
                <w:sz w:val="20"/>
              </w:rPr>
            </w:pPr>
            <w:r w:rsidRPr="00147A77">
              <w:rPr>
                <w:rFonts w:ascii="Arial" w:hAnsi="Arial" w:cs="Arial"/>
                <w:sz w:val="20"/>
              </w:rPr>
              <w:t>Bonds</w:t>
            </w:r>
            <w:r w:rsidR="00FF711A">
              <w:rPr>
                <w:rFonts w:ascii="Arial" w:hAnsi="Arial" w:cs="Arial"/>
                <w:sz w:val="20"/>
              </w:rPr>
              <w:t xml:space="preserve"> and Convertible Bonds</w:t>
            </w:r>
          </w:p>
        </w:tc>
      </w:tr>
      <w:tr w:rsidR="00A33519" w:rsidRPr="00147A77" w14:paraId="4A9606B8" w14:textId="77777777" w:rsidTr="008C753C">
        <w:tc>
          <w:tcPr>
            <w:tcW w:w="2109" w:type="dxa"/>
          </w:tcPr>
          <w:p w14:paraId="75110514" w14:textId="77777777" w:rsidR="00A33519" w:rsidRPr="00147A77" w:rsidRDefault="00A33519" w:rsidP="00D76281">
            <w:pPr>
              <w:rPr>
                <w:rFonts w:ascii="Arial" w:hAnsi="Arial" w:cs="Arial"/>
                <w:b/>
                <w:sz w:val="20"/>
              </w:rPr>
            </w:pPr>
          </w:p>
        </w:tc>
        <w:tc>
          <w:tcPr>
            <w:tcW w:w="6467" w:type="dxa"/>
            <w:shd w:val="clear" w:color="auto" w:fill="D9D9D9" w:themeFill="background1" w:themeFillShade="D9"/>
          </w:tcPr>
          <w:p w14:paraId="28FCD8DD" w14:textId="77777777" w:rsidR="00A33519" w:rsidRPr="00147A77" w:rsidRDefault="00A33519" w:rsidP="00D76281">
            <w:pPr>
              <w:rPr>
                <w:rFonts w:ascii="Arial" w:hAnsi="Arial" w:cs="Arial"/>
                <w:b/>
                <w:sz w:val="20"/>
              </w:rPr>
            </w:pPr>
            <w:r w:rsidRPr="00147A77">
              <w:rPr>
                <w:rFonts w:ascii="Arial" w:hAnsi="Arial" w:cs="Arial"/>
                <w:b/>
                <w:sz w:val="20"/>
              </w:rPr>
              <w:t>Summary</w:t>
            </w:r>
          </w:p>
        </w:tc>
        <w:tc>
          <w:tcPr>
            <w:tcW w:w="6812" w:type="dxa"/>
            <w:shd w:val="clear" w:color="auto" w:fill="D9D9D9" w:themeFill="background1" w:themeFillShade="D9"/>
          </w:tcPr>
          <w:p w14:paraId="07184EDC" w14:textId="77777777" w:rsidR="00A33519" w:rsidRPr="00147A77" w:rsidRDefault="00A33519" w:rsidP="00D76281">
            <w:pPr>
              <w:rPr>
                <w:rFonts w:ascii="Arial" w:hAnsi="Arial" w:cs="Arial"/>
                <w:b/>
                <w:sz w:val="20"/>
              </w:rPr>
            </w:pPr>
            <w:r w:rsidRPr="00147A77">
              <w:rPr>
                <w:rFonts w:ascii="Arial" w:hAnsi="Arial" w:cs="Arial"/>
                <w:b/>
                <w:sz w:val="20"/>
              </w:rPr>
              <w:t>Conclusion</w:t>
            </w:r>
          </w:p>
        </w:tc>
      </w:tr>
      <w:tr w:rsidR="00A33519" w:rsidRPr="00147A77" w14:paraId="7A5B562B" w14:textId="77777777" w:rsidTr="00147A77">
        <w:tc>
          <w:tcPr>
            <w:tcW w:w="2109" w:type="dxa"/>
          </w:tcPr>
          <w:p w14:paraId="788C8E8B" w14:textId="77777777" w:rsidR="00A33519" w:rsidRPr="00147A77" w:rsidRDefault="00A33519" w:rsidP="00D76281">
            <w:pPr>
              <w:rPr>
                <w:rFonts w:ascii="Arial" w:hAnsi="Arial" w:cs="Arial"/>
                <w:b/>
                <w:sz w:val="20"/>
              </w:rPr>
            </w:pPr>
            <w:r w:rsidRPr="00147A77">
              <w:rPr>
                <w:rFonts w:ascii="Arial" w:hAnsi="Arial" w:cs="Arial"/>
                <w:b/>
                <w:sz w:val="20"/>
              </w:rPr>
              <w:t>Execution factors</w:t>
            </w:r>
          </w:p>
        </w:tc>
        <w:tc>
          <w:tcPr>
            <w:tcW w:w="6467" w:type="dxa"/>
            <w:shd w:val="clear" w:color="auto" w:fill="auto"/>
          </w:tcPr>
          <w:p w14:paraId="1F7FEA4D" w14:textId="56AA7A8D" w:rsidR="00A33519" w:rsidRPr="00147A77" w:rsidRDefault="00A74863" w:rsidP="002E0F94">
            <w:pPr>
              <w:rPr>
                <w:rFonts w:ascii="Arial" w:hAnsi="Arial" w:cs="Arial"/>
                <w:sz w:val="20"/>
              </w:rPr>
            </w:pPr>
            <w:r w:rsidRPr="00147A77">
              <w:rPr>
                <w:rFonts w:ascii="Arial" w:hAnsi="Arial" w:cs="Arial"/>
                <w:sz w:val="20"/>
              </w:rPr>
              <w:t>F</w:t>
            </w:r>
            <w:r w:rsidR="007A1A11" w:rsidRPr="00147A77">
              <w:rPr>
                <w:rFonts w:ascii="Arial" w:hAnsi="Arial" w:cs="Arial"/>
                <w:sz w:val="20"/>
              </w:rPr>
              <w:t>or F</w:t>
            </w:r>
            <w:r w:rsidRPr="00147A77">
              <w:rPr>
                <w:rFonts w:ascii="Arial" w:hAnsi="Arial" w:cs="Arial"/>
                <w:sz w:val="20"/>
              </w:rPr>
              <w:t>ixed Income trades</w:t>
            </w:r>
            <w:r w:rsidR="007A1A11" w:rsidRPr="00147A77">
              <w:rPr>
                <w:rFonts w:ascii="Arial" w:hAnsi="Arial" w:cs="Arial"/>
                <w:sz w:val="20"/>
              </w:rPr>
              <w:t xml:space="preserve"> Petrus applies similar criteria as for Equities – Shares and Depositary Receipts, characteristics include:</w:t>
            </w:r>
          </w:p>
          <w:p w14:paraId="1B79E02E" w14:textId="77777777" w:rsidR="001976E1" w:rsidRPr="00147A77" w:rsidRDefault="001976E1" w:rsidP="001976E1">
            <w:pPr>
              <w:pStyle w:val="Listenabsatz"/>
              <w:numPr>
                <w:ilvl w:val="0"/>
                <w:numId w:val="9"/>
              </w:numPr>
              <w:rPr>
                <w:rFonts w:ascii="Arial" w:hAnsi="Arial" w:cs="Arial"/>
                <w:sz w:val="20"/>
              </w:rPr>
            </w:pPr>
            <w:r w:rsidRPr="00147A77">
              <w:rPr>
                <w:rFonts w:ascii="Arial" w:hAnsi="Arial" w:cs="Arial"/>
                <w:sz w:val="20"/>
              </w:rPr>
              <w:t>Price</w:t>
            </w:r>
          </w:p>
          <w:p w14:paraId="094C3C28" w14:textId="7E45007B" w:rsidR="007A1A11" w:rsidRPr="00147A77" w:rsidRDefault="001976E1" w:rsidP="001976E1">
            <w:pPr>
              <w:pStyle w:val="Listenabsatz"/>
              <w:numPr>
                <w:ilvl w:val="0"/>
                <w:numId w:val="9"/>
              </w:numPr>
              <w:rPr>
                <w:rFonts w:ascii="Arial" w:hAnsi="Arial" w:cs="Arial"/>
                <w:sz w:val="20"/>
              </w:rPr>
            </w:pPr>
            <w:r w:rsidRPr="00147A77">
              <w:rPr>
                <w:rFonts w:ascii="Arial" w:hAnsi="Arial" w:cs="Arial"/>
                <w:sz w:val="20"/>
              </w:rPr>
              <w:t>Likelihood of execution and size</w:t>
            </w:r>
          </w:p>
          <w:p w14:paraId="43455232" w14:textId="32B56F34" w:rsidR="0004717E" w:rsidRPr="0004717E" w:rsidRDefault="00147A77" w:rsidP="0004717E">
            <w:pPr>
              <w:pStyle w:val="Bulletedlist1"/>
              <w:rPr>
                <w:sz w:val="20"/>
              </w:rPr>
            </w:pPr>
            <w:r w:rsidRPr="00147A77">
              <w:rPr>
                <w:sz w:val="20"/>
              </w:rPr>
              <w:t>the characteristics of the broker to whom the order can be directed</w:t>
            </w:r>
          </w:p>
        </w:tc>
        <w:tc>
          <w:tcPr>
            <w:tcW w:w="6812" w:type="dxa"/>
          </w:tcPr>
          <w:p w14:paraId="556F30FD" w14:textId="6F9D131C" w:rsidR="00A33519" w:rsidRPr="00147A77" w:rsidRDefault="00A33519" w:rsidP="00D76281">
            <w:pPr>
              <w:rPr>
                <w:rFonts w:ascii="Arial" w:hAnsi="Arial" w:cs="Arial"/>
                <w:sz w:val="20"/>
              </w:rPr>
            </w:pPr>
            <w:r w:rsidRPr="00147A77">
              <w:rPr>
                <w:rFonts w:ascii="Arial" w:hAnsi="Arial" w:cs="Arial"/>
                <w:sz w:val="20"/>
              </w:rPr>
              <w:t>The relative importance given to the execution factors was in line with Petrus’ Order and Best Execution Policy.</w:t>
            </w:r>
          </w:p>
          <w:p w14:paraId="77F30105" w14:textId="43AF4572" w:rsidR="001976E1" w:rsidRPr="00147A77" w:rsidRDefault="001976E1" w:rsidP="00D76281">
            <w:pPr>
              <w:rPr>
                <w:rFonts w:ascii="Arial" w:hAnsi="Arial" w:cs="Arial"/>
                <w:sz w:val="20"/>
              </w:rPr>
            </w:pPr>
          </w:p>
          <w:p w14:paraId="3608013A" w14:textId="3926C665" w:rsidR="001976E1" w:rsidRPr="00147A77" w:rsidRDefault="001976E1" w:rsidP="00D76281">
            <w:pPr>
              <w:rPr>
                <w:rFonts w:ascii="Arial" w:hAnsi="Arial" w:cs="Arial"/>
                <w:sz w:val="20"/>
              </w:rPr>
            </w:pPr>
            <w:r w:rsidRPr="00147A77">
              <w:rPr>
                <w:rFonts w:ascii="Arial" w:hAnsi="Arial" w:cs="Arial"/>
                <w:sz w:val="20"/>
              </w:rPr>
              <w:t>Petrus has mostly put precedence on price and likelihood of execution.</w:t>
            </w:r>
          </w:p>
          <w:p w14:paraId="00F2B6CC" w14:textId="77777777" w:rsidR="00A33519" w:rsidRPr="00147A77" w:rsidRDefault="00A33519" w:rsidP="00D76281">
            <w:pPr>
              <w:rPr>
                <w:rFonts w:ascii="Arial" w:hAnsi="Arial" w:cs="Arial"/>
                <w:sz w:val="20"/>
              </w:rPr>
            </w:pPr>
          </w:p>
        </w:tc>
      </w:tr>
    </w:tbl>
    <w:p w14:paraId="1D05BA51" w14:textId="25E00E9B" w:rsidR="00A33519" w:rsidRDefault="00A33519">
      <w:pPr>
        <w:rPr>
          <w:rFonts w:ascii="Arial" w:hAnsi="Arial" w:cs="Arial"/>
        </w:rPr>
      </w:pPr>
    </w:p>
    <w:p w14:paraId="1F9D13AC" w14:textId="68086C46" w:rsidR="008932A2" w:rsidRDefault="008932A2">
      <w:pPr>
        <w:rPr>
          <w:rFonts w:ascii="Arial" w:hAnsi="Arial" w:cs="Arial"/>
        </w:rPr>
      </w:pPr>
    </w:p>
    <w:p w14:paraId="262E9B83" w14:textId="5C754F09" w:rsidR="00EA4001" w:rsidRDefault="00EA4001">
      <w:pPr>
        <w:rPr>
          <w:rFonts w:ascii="Arial" w:hAnsi="Arial" w:cs="Arial"/>
        </w:rPr>
      </w:pPr>
      <w:r>
        <w:rPr>
          <w:rFonts w:ascii="Arial" w:hAnsi="Arial" w:cs="Arial"/>
        </w:rPr>
        <w:br w:type="page"/>
      </w:r>
    </w:p>
    <w:p w14:paraId="2B94A1DA" w14:textId="2BEB8AC6" w:rsidR="008932A2" w:rsidRDefault="008932A2">
      <w:pPr>
        <w:rPr>
          <w:rFonts w:ascii="Arial" w:hAnsi="Arial" w:cs="Arial"/>
        </w:rPr>
      </w:pPr>
      <w:r>
        <w:rPr>
          <w:noProof/>
          <w:lang w:val="en-US"/>
        </w:rPr>
        <w:lastRenderedPageBreak/>
        <w:drawing>
          <wp:inline distT="0" distB="0" distL="0" distR="0" wp14:anchorId="5589FAA0" wp14:editId="2960C104">
            <wp:extent cx="2819400" cy="2571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2819400" cy="257175"/>
                    </a:xfrm>
                    <a:prstGeom prst="rect">
                      <a:avLst/>
                    </a:prstGeom>
                    <a:noFill/>
                    <a:ln w="9525">
                      <a:noFill/>
                      <a:miter lim="800000"/>
                      <a:headEnd/>
                      <a:tailEnd/>
                    </a:ln>
                  </pic:spPr>
                </pic:pic>
              </a:graphicData>
            </a:graphic>
          </wp:inline>
        </w:drawing>
      </w:r>
    </w:p>
    <w:p w14:paraId="0637A24E" w14:textId="77777777" w:rsidR="008932A2" w:rsidRDefault="008932A2">
      <w:pPr>
        <w:rPr>
          <w:rFonts w:ascii="Arial" w:hAnsi="Arial" w:cs="Arial"/>
        </w:rPr>
      </w:pPr>
    </w:p>
    <w:tbl>
      <w:tblPr>
        <w:tblStyle w:val="Tabellenraster"/>
        <w:tblW w:w="0" w:type="auto"/>
        <w:tblLayout w:type="fixed"/>
        <w:tblLook w:val="04A0" w:firstRow="1" w:lastRow="0" w:firstColumn="1" w:lastColumn="0" w:noHBand="0" w:noVBand="1"/>
      </w:tblPr>
      <w:tblGrid>
        <w:gridCol w:w="2095"/>
        <w:gridCol w:w="2720"/>
        <w:gridCol w:w="3747"/>
        <w:gridCol w:w="6826"/>
      </w:tblGrid>
      <w:tr w:rsidR="008932A2" w:rsidRPr="00147A77" w14:paraId="3AB50D40" w14:textId="77777777" w:rsidTr="00C822FF">
        <w:trPr>
          <w:trHeight w:val="700"/>
        </w:trPr>
        <w:tc>
          <w:tcPr>
            <w:tcW w:w="2095" w:type="dxa"/>
            <w:vMerge w:val="restart"/>
          </w:tcPr>
          <w:p w14:paraId="203C58E9" w14:textId="77777777" w:rsidR="008932A2" w:rsidRPr="00147A77" w:rsidRDefault="008932A2" w:rsidP="00C822FF">
            <w:pPr>
              <w:keepNext/>
              <w:rPr>
                <w:rFonts w:ascii="Arial" w:hAnsi="Arial" w:cs="Arial"/>
                <w:b/>
                <w:sz w:val="20"/>
              </w:rPr>
            </w:pPr>
            <w:r w:rsidRPr="00147A77">
              <w:rPr>
                <w:rFonts w:ascii="Arial" w:eastAsia="Times New Roman" w:hAnsi="Arial" w:cs="Arial"/>
                <w:b/>
                <w:sz w:val="20"/>
              </w:rPr>
              <w:t xml:space="preserve">Close links, conflicts of interest or common ownership with respect to any execution venues </w:t>
            </w:r>
          </w:p>
        </w:tc>
        <w:tc>
          <w:tcPr>
            <w:tcW w:w="2720" w:type="dxa"/>
          </w:tcPr>
          <w:p w14:paraId="462BB7C3" w14:textId="77777777" w:rsidR="008932A2" w:rsidRPr="00147A77" w:rsidRDefault="008932A2" w:rsidP="00C822FF">
            <w:pPr>
              <w:keepNext/>
              <w:rPr>
                <w:rFonts w:ascii="Arial" w:hAnsi="Arial" w:cs="Arial"/>
                <w:b/>
                <w:i/>
                <w:sz w:val="20"/>
              </w:rPr>
            </w:pPr>
            <w:r w:rsidRPr="00147A77">
              <w:rPr>
                <w:rFonts w:ascii="Arial" w:hAnsi="Arial" w:cs="Arial"/>
                <w:b/>
                <w:i/>
                <w:sz w:val="20"/>
              </w:rPr>
              <w:t>Close links</w:t>
            </w:r>
          </w:p>
        </w:tc>
        <w:tc>
          <w:tcPr>
            <w:tcW w:w="3747" w:type="dxa"/>
          </w:tcPr>
          <w:p w14:paraId="16359ADE" w14:textId="77777777" w:rsidR="008932A2" w:rsidRPr="00147A77" w:rsidRDefault="008932A2" w:rsidP="00C822FF">
            <w:pPr>
              <w:keepNext/>
              <w:rPr>
                <w:rFonts w:ascii="Arial" w:hAnsi="Arial" w:cs="Arial"/>
                <w:sz w:val="20"/>
              </w:rPr>
            </w:pPr>
            <w:r w:rsidRPr="00147A77">
              <w:rPr>
                <w:rFonts w:ascii="Arial" w:hAnsi="Arial" w:cs="Arial"/>
                <w:sz w:val="20"/>
              </w:rPr>
              <w:t>Petrus has no close links to report for the review period.</w:t>
            </w:r>
          </w:p>
        </w:tc>
        <w:tc>
          <w:tcPr>
            <w:tcW w:w="6826" w:type="dxa"/>
          </w:tcPr>
          <w:p w14:paraId="21830720" w14:textId="77777777" w:rsidR="008932A2" w:rsidRPr="00147A77" w:rsidRDefault="008932A2" w:rsidP="00C822FF">
            <w:pPr>
              <w:keepNext/>
              <w:rPr>
                <w:rFonts w:ascii="Arial" w:hAnsi="Arial" w:cs="Arial"/>
                <w:sz w:val="20"/>
              </w:rPr>
            </w:pPr>
            <w:proofErr w:type="spellStart"/>
            <w:r w:rsidRPr="00147A77">
              <w:rPr>
                <w:rFonts w:ascii="Arial" w:hAnsi="Arial" w:cs="Arial"/>
                <w:sz w:val="20"/>
              </w:rPr>
              <w:t>n.a.</w:t>
            </w:r>
            <w:proofErr w:type="spellEnd"/>
          </w:p>
        </w:tc>
      </w:tr>
      <w:tr w:rsidR="008932A2" w:rsidRPr="00147A77" w14:paraId="289FB6BD" w14:textId="77777777" w:rsidTr="00C822FF">
        <w:tc>
          <w:tcPr>
            <w:tcW w:w="2095" w:type="dxa"/>
            <w:vMerge/>
          </w:tcPr>
          <w:p w14:paraId="4ECA13AF" w14:textId="77777777" w:rsidR="008932A2" w:rsidRPr="00147A77" w:rsidRDefault="008932A2" w:rsidP="00C822FF">
            <w:pPr>
              <w:keepNext/>
              <w:rPr>
                <w:rFonts w:ascii="Arial" w:hAnsi="Arial" w:cs="Arial"/>
                <w:b/>
                <w:sz w:val="20"/>
              </w:rPr>
            </w:pPr>
          </w:p>
        </w:tc>
        <w:tc>
          <w:tcPr>
            <w:tcW w:w="2720" w:type="dxa"/>
          </w:tcPr>
          <w:p w14:paraId="39620CB2" w14:textId="77777777" w:rsidR="008932A2" w:rsidRPr="00147A77" w:rsidRDefault="008932A2" w:rsidP="00C822FF">
            <w:pPr>
              <w:keepNext/>
              <w:rPr>
                <w:rFonts w:ascii="Arial" w:hAnsi="Arial" w:cs="Arial"/>
                <w:b/>
                <w:i/>
                <w:sz w:val="20"/>
              </w:rPr>
            </w:pPr>
            <w:r w:rsidRPr="00147A77">
              <w:rPr>
                <w:rFonts w:ascii="Arial" w:hAnsi="Arial" w:cs="Arial"/>
                <w:b/>
                <w:i/>
                <w:sz w:val="20"/>
              </w:rPr>
              <w:t>Conflicts of interest</w:t>
            </w:r>
          </w:p>
          <w:p w14:paraId="018DE6A1" w14:textId="77777777" w:rsidR="008932A2" w:rsidRPr="00147A77" w:rsidRDefault="008932A2" w:rsidP="00C822FF">
            <w:pPr>
              <w:keepNext/>
              <w:rPr>
                <w:rFonts w:ascii="Arial" w:hAnsi="Arial" w:cs="Arial"/>
                <w:b/>
                <w:i/>
                <w:sz w:val="20"/>
              </w:rPr>
            </w:pPr>
          </w:p>
        </w:tc>
        <w:tc>
          <w:tcPr>
            <w:tcW w:w="3747" w:type="dxa"/>
          </w:tcPr>
          <w:p w14:paraId="3BD5596C" w14:textId="77777777" w:rsidR="008932A2" w:rsidRPr="00147A77" w:rsidRDefault="008932A2" w:rsidP="00C822FF">
            <w:pPr>
              <w:keepNext/>
              <w:rPr>
                <w:rFonts w:ascii="Arial" w:hAnsi="Arial" w:cs="Arial"/>
                <w:sz w:val="20"/>
              </w:rPr>
            </w:pPr>
            <w:r w:rsidRPr="00147A77">
              <w:rPr>
                <w:rFonts w:ascii="Arial" w:hAnsi="Arial" w:cs="Arial"/>
                <w:sz w:val="20"/>
              </w:rPr>
              <w:t>Petrus has no conflicts of interest to report for the review period.</w:t>
            </w:r>
          </w:p>
        </w:tc>
        <w:tc>
          <w:tcPr>
            <w:tcW w:w="6826" w:type="dxa"/>
          </w:tcPr>
          <w:p w14:paraId="02D46127" w14:textId="77777777" w:rsidR="008932A2" w:rsidRPr="00147A77" w:rsidRDefault="008932A2" w:rsidP="00C822FF">
            <w:pPr>
              <w:keepNext/>
              <w:rPr>
                <w:rFonts w:ascii="Arial" w:hAnsi="Arial" w:cs="Arial"/>
                <w:sz w:val="20"/>
                <w:highlight w:val="red"/>
              </w:rPr>
            </w:pPr>
            <w:proofErr w:type="spellStart"/>
            <w:r w:rsidRPr="00147A77">
              <w:rPr>
                <w:rFonts w:ascii="Arial" w:hAnsi="Arial" w:cs="Arial"/>
                <w:sz w:val="20"/>
              </w:rPr>
              <w:t>n.a.</w:t>
            </w:r>
            <w:proofErr w:type="spellEnd"/>
          </w:p>
        </w:tc>
      </w:tr>
      <w:tr w:rsidR="008932A2" w:rsidRPr="00147A77" w14:paraId="72D3995E" w14:textId="77777777" w:rsidTr="00C822FF">
        <w:tc>
          <w:tcPr>
            <w:tcW w:w="2095" w:type="dxa"/>
            <w:vMerge/>
          </w:tcPr>
          <w:p w14:paraId="12323287" w14:textId="77777777" w:rsidR="008932A2" w:rsidRPr="00147A77" w:rsidRDefault="008932A2" w:rsidP="00C822FF">
            <w:pPr>
              <w:keepNext/>
              <w:rPr>
                <w:rFonts w:ascii="Arial" w:eastAsia="Times New Roman" w:hAnsi="Arial" w:cs="Arial"/>
                <w:b/>
                <w:sz w:val="20"/>
              </w:rPr>
            </w:pPr>
          </w:p>
        </w:tc>
        <w:tc>
          <w:tcPr>
            <w:tcW w:w="2720" w:type="dxa"/>
          </w:tcPr>
          <w:p w14:paraId="2AC92290" w14:textId="77777777" w:rsidR="008932A2" w:rsidRPr="00147A77" w:rsidRDefault="008932A2" w:rsidP="00C822FF">
            <w:pPr>
              <w:keepNext/>
              <w:rPr>
                <w:rFonts w:ascii="Arial" w:hAnsi="Arial" w:cs="Arial"/>
                <w:b/>
                <w:i/>
                <w:sz w:val="20"/>
              </w:rPr>
            </w:pPr>
            <w:r w:rsidRPr="00147A77">
              <w:rPr>
                <w:rFonts w:ascii="Arial" w:hAnsi="Arial" w:cs="Arial"/>
                <w:b/>
                <w:i/>
                <w:sz w:val="20"/>
              </w:rPr>
              <w:t>Common ownerships</w:t>
            </w:r>
          </w:p>
        </w:tc>
        <w:tc>
          <w:tcPr>
            <w:tcW w:w="3747" w:type="dxa"/>
          </w:tcPr>
          <w:p w14:paraId="013FA6AA" w14:textId="77777777" w:rsidR="008932A2" w:rsidRPr="00147A77" w:rsidRDefault="008932A2" w:rsidP="00C822FF">
            <w:pPr>
              <w:keepNext/>
              <w:rPr>
                <w:rFonts w:ascii="Arial" w:hAnsi="Arial" w:cs="Arial"/>
                <w:sz w:val="20"/>
              </w:rPr>
            </w:pPr>
            <w:r w:rsidRPr="00147A77">
              <w:rPr>
                <w:rFonts w:ascii="Arial" w:hAnsi="Arial" w:cs="Arial"/>
                <w:sz w:val="20"/>
              </w:rPr>
              <w:t>Petrus has no common ownerships to report for the review period.</w:t>
            </w:r>
          </w:p>
        </w:tc>
        <w:tc>
          <w:tcPr>
            <w:tcW w:w="6826" w:type="dxa"/>
          </w:tcPr>
          <w:p w14:paraId="01E96BA7" w14:textId="77777777" w:rsidR="008932A2" w:rsidRPr="00147A77" w:rsidRDefault="008932A2" w:rsidP="00C822FF">
            <w:pPr>
              <w:keepNext/>
              <w:rPr>
                <w:rFonts w:ascii="Arial" w:hAnsi="Arial" w:cs="Arial"/>
                <w:sz w:val="20"/>
              </w:rPr>
            </w:pPr>
            <w:proofErr w:type="spellStart"/>
            <w:r w:rsidRPr="00147A77">
              <w:rPr>
                <w:rFonts w:ascii="Arial" w:hAnsi="Arial" w:cs="Arial"/>
                <w:sz w:val="20"/>
              </w:rPr>
              <w:t>n.a.</w:t>
            </w:r>
            <w:proofErr w:type="spellEnd"/>
          </w:p>
        </w:tc>
      </w:tr>
      <w:tr w:rsidR="008932A2" w:rsidRPr="00147A77" w14:paraId="67911455" w14:textId="77777777" w:rsidTr="00C822FF">
        <w:tc>
          <w:tcPr>
            <w:tcW w:w="2095" w:type="dxa"/>
          </w:tcPr>
          <w:p w14:paraId="3AAF9D3A" w14:textId="77777777" w:rsidR="008932A2" w:rsidRPr="00147A77" w:rsidRDefault="008932A2" w:rsidP="00C822FF">
            <w:pPr>
              <w:rPr>
                <w:rFonts w:ascii="Arial" w:hAnsi="Arial" w:cs="Arial"/>
                <w:b/>
                <w:sz w:val="20"/>
              </w:rPr>
            </w:pPr>
            <w:r w:rsidRPr="00147A77">
              <w:rPr>
                <w:rFonts w:ascii="Arial" w:eastAsia="Times New Roman" w:hAnsi="Arial" w:cs="Arial"/>
                <w:b/>
                <w:sz w:val="20"/>
              </w:rPr>
              <w:t>Any arrangements with any execution venues regarding payments made or received, discounts or any non-monetary benefits received</w:t>
            </w:r>
          </w:p>
        </w:tc>
        <w:tc>
          <w:tcPr>
            <w:tcW w:w="6467" w:type="dxa"/>
            <w:gridSpan w:val="2"/>
          </w:tcPr>
          <w:p w14:paraId="7E2F7EC7" w14:textId="5D1127A2" w:rsidR="008932A2" w:rsidRPr="00147A77" w:rsidRDefault="008932A2" w:rsidP="00C822FF">
            <w:pPr>
              <w:rPr>
                <w:rFonts w:ascii="Arial" w:hAnsi="Arial" w:cs="Arial"/>
                <w:sz w:val="20"/>
              </w:rPr>
            </w:pPr>
            <w:r w:rsidRPr="00147A77">
              <w:rPr>
                <w:rFonts w:ascii="Arial" w:hAnsi="Arial" w:cs="Arial"/>
                <w:sz w:val="20"/>
              </w:rPr>
              <w:t>During the review period until end of December 20</w:t>
            </w:r>
            <w:r w:rsidR="00545072">
              <w:rPr>
                <w:rFonts w:ascii="Arial" w:hAnsi="Arial" w:cs="Arial"/>
                <w:sz w:val="20"/>
              </w:rPr>
              <w:t>21</w:t>
            </w:r>
            <w:r w:rsidRPr="00147A77">
              <w:rPr>
                <w:rFonts w:ascii="Arial" w:hAnsi="Arial" w:cs="Arial"/>
                <w:sz w:val="20"/>
              </w:rPr>
              <w:t>, Petrus received non-monetary benefits in form of investment research from some of the brokers.</w:t>
            </w:r>
          </w:p>
          <w:p w14:paraId="7F1F87C8" w14:textId="77777777" w:rsidR="008932A2" w:rsidRPr="00147A77" w:rsidRDefault="008932A2" w:rsidP="00C822FF">
            <w:pPr>
              <w:rPr>
                <w:rFonts w:ascii="Arial" w:hAnsi="Arial" w:cs="Arial"/>
                <w:sz w:val="20"/>
              </w:rPr>
            </w:pPr>
          </w:p>
          <w:p w14:paraId="77A90EA5" w14:textId="77777777" w:rsidR="008932A2" w:rsidRPr="00147A77" w:rsidRDefault="008932A2" w:rsidP="00C822FF">
            <w:pPr>
              <w:rPr>
                <w:rFonts w:ascii="Arial" w:hAnsi="Arial" w:cs="Arial"/>
                <w:sz w:val="20"/>
              </w:rPr>
            </w:pPr>
          </w:p>
          <w:p w14:paraId="2BA3CE0C" w14:textId="77777777" w:rsidR="008932A2" w:rsidRPr="00147A77" w:rsidRDefault="008932A2" w:rsidP="00C822FF">
            <w:pPr>
              <w:rPr>
                <w:rFonts w:ascii="Arial" w:hAnsi="Arial" w:cs="Arial"/>
                <w:sz w:val="20"/>
              </w:rPr>
            </w:pPr>
          </w:p>
          <w:p w14:paraId="462470CF" w14:textId="77777777" w:rsidR="008932A2" w:rsidRPr="00147A77" w:rsidRDefault="008932A2" w:rsidP="00C822FF">
            <w:pPr>
              <w:rPr>
                <w:rFonts w:ascii="Arial" w:hAnsi="Arial" w:cs="Arial"/>
                <w:sz w:val="20"/>
              </w:rPr>
            </w:pPr>
          </w:p>
          <w:p w14:paraId="7F0895DA" w14:textId="77777777" w:rsidR="008932A2" w:rsidRPr="00147A77" w:rsidRDefault="008932A2" w:rsidP="00C822FF">
            <w:pPr>
              <w:rPr>
                <w:rFonts w:ascii="Arial" w:hAnsi="Arial" w:cs="Arial"/>
                <w:sz w:val="20"/>
              </w:rPr>
            </w:pPr>
            <w:r w:rsidRPr="00147A77">
              <w:rPr>
                <w:rFonts w:ascii="Arial" w:hAnsi="Arial" w:cs="Arial"/>
                <w:sz w:val="20"/>
              </w:rPr>
              <w:t>In accordance with MiFID2 requirements effective 3</w:t>
            </w:r>
            <w:r w:rsidRPr="00147A77">
              <w:rPr>
                <w:rFonts w:ascii="Arial" w:hAnsi="Arial" w:cs="Arial"/>
                <w:sz w:val="20"/>
                <w:vertAlign w:val="superscript"/>
              </w:rPr>
              <w:t>rd</w:t>
            </w:r>
            <w:r w:rsidRPr="00147A77">
              <w:rPr>
                <w:rFonts w:ascii="Arial" w:hAnsi="Arial" w:cs="Arial"/>
                <w:sz w:val="20"/>
              </w:rPr>
              <w:t xml:space="preserve"> January 2018, Petrus implemented a separation of execution price and research by way of an annual Research budget. Petrus pays a standard service commission fee which is split between Execution and Research. Fees accrued fund the Research Payment Account (RPA).</w:t>
            </w:r>
          </w:p>
        </w:tc>
        <w:tc>
          <w:tcPr>
            <w:tcW w:w="6826" w:type="dxa"/>
          </w:tcPr>
          <w:p w14:paraId="0769D88A" w14:textId="77777777" w:rsidR="008932A2" w:rsidRPr="00147A77" w:rsidRDefault="008932A2" w:rsidP="00C822FF">
            <w:pPr>
              <w:rPr>
                <w:rFonts w:ascii="Arial" w:hAnsi="Arial" w:cs="Arial"/>
                <w:sz w:val="20"/>
              </w:rPr>
            </w:pPr>
            <w:r w:rsidRPr="00147A77">
              <w:rPr>
                <w:rFonts w:ascii="Arial" w:hAnsi="Arial" w:cs="Arial"/>
                <w:sz w:val="20"/>
              </w:rPr>
              <w:t>Petrus had policies and procedures in place (for example CSAs) to ensure that execution and research provision did not influence the choice of execution brokers. Petrus acted according to their best execution policy valid for the review period.</w:t>
            </w:r>
          </w:p>
          <w:p w14:paraId="02A4E1DB" w14:textId="77777777" w:rsidR="008932A2" w:rsidRPr="00147A77" w:rsidRDefault="008932A2" w:rsidP="00C822FF">
            <w:pPr>
              <w:rPr>
                <w:rFonts w:ascii="Arial" w:hAnsi="Arial" w:cs="Arial"/>
                <w:sz w:val="20"/>
              </w:rPr>
            </w:pPr>
          </w:p>
          <w:p w14:paraId="20DF1E4B" w14:textId="77777777" w:rsidR="00E57C33" w:rsidRDefault="00E57C33" w:rsidP="00C822FF">
            <w:pPr>
              <w:rPr>
                <w:rFonts w:ascii="Arial" w:hAnsi="Arial" w:cs="Arial"/>
                <w:sz w:val="20"/>
              </w:rPr>
            </w:pPr>
          </w:p>
          <w:p w14:paraId="6B5942AB" w14:textId="77777777" w:rsidR="00E57C33" w:rsidRDefault="00E57C33" w:rsidP="00C822FF">
            <w:pPr>
              <w:rPr>
                <w:rFonts w:ascii="Arial" w:hAnsi="Arial" w:cs="Arial"/>
                <w:sz w:val="20"/>
              </w:rPr>
            </w:pPr>
          </w:p>
          <w:p w14:paraId="0A79391F" w14:textId="2A99DA52" w:rsidR="008932A2" w:rsidRPr="00147A77" w:rsidRDefault="008932A2" w:rsidP="00C822FF">
            <w:pPr>
              <w:rPr>
                <w:rFonts w:ascii="Arial" w:hAnsi="Arial" w:cs="Arial"/>
                <w:sz w:val="20"/>
              </w:rPr>
            </w:pPr>
            <w:r w:rsidRPr="00147A77">
              <w:rPr>
                <w:rFonts w:ascii="Arial" w:hAnsi="Arial" w:cs="Arial"/>
                <w:sz w:val="20"/>
              </w:rPr>
              <w:t>Petrus established a list of brokers together with an annual research budget to ensure greater transparency on costs in line with its Order and Best Execution and RPA policy.</w:t>
            </w:r>
          </w:p>
        </w:tc>
      </w:tr>
      <w:tr w:rsidR="008932A2" w:rsidRPr="00147A77" w14:paraId="1A71D5FD" w14:textId="77777777" w:rsidTr="00C822FF">
        <w:tc>
          <w:tcPr>
            <w:tcW w:w="2095" w:type="dxa"/>
          </w:tcPr>
          <w:p w14:paraId="43C5E8F2" w14:textId="77777777" w:rsidR="008932A2" w:rsidRPr="00147A77" w:rsidRDefault="008932A2" w:rsidP="00C822FF">
            <w:pPr>
              <w:rPr>
                <w:rFonts w:ascii="Arial" w:hAnsi="Arial" w:cs="Arial"/>
                <w:b/>
                <w:sz w:val="20"/>
              </w:rPr>
            </w:pPr>
            <w:r w:rsidRPr="00147A77">
              <w:rPr>
                <w:rFonts w:ascii="Arial" w:eastAsia="Times New Roman" w:hAnsi="Arial" w:cs="Arial"/>
                <w:b/>
                <w:sz w:val="20"/>
              </w:rPr>
              <w:t>Factors leading to a change in the list of execution venues</w:t>
            </w:r>
          </w:p>
        </w:tc>
        <w:tc>
          <w:tcPr>
            <w:tcW w:w="6467" w:type="dxa"/>
            <w:gridSpan w:val="2"/>
          </w:tcPr>
          <w:p w14:paraId="1A8661EF" w14:textId="0C938447" w:rsidR="008932A2" w:rsidRPr="00147A77" w:rsidRDefault="008932A2" w:rsidP="00C822FF">
            <w:pPr>
              <w:rPr>
                <w:rFonts w:ascii="Arial" w:hAnsi="Arial" w:cs="Arial"/>
                <w:sz w:val="20"/>
              </w:rPr>
            </w:pPr>
            <w:r w:rsidRPr="00147A77">
              <w:rPr>
                <w:rFonts w:ascii="Arial" w:hAnsi="Arial" w:cs="Arial"/>
                <w:sz w:val="20"/>
              </w:rPr>
              <w:t>There were no changes to the list of execution venues in Petrus’ Order and Best Execution Policy</w:t>
            </w:r>
          </w:p>
        </w:tc>
        <w:tc>
          <w:tcPr>
            <w:tcW w:w="6826" w:type="dxa"/>
          </w:tcPr>
          <w:p w14:paraId="3067D562" w14:textId="77777777" w:rsidR="008932A2" w:rsidRPr="00147A77" w:rsidRDefault="008932A2" w:rsidP="00C822FF">
            <w:pPr>
              <w:rPr>
                <w:rFonts w:ascii="Arial" w:hAnsi="Arial" w:cs="Arial"/>
                <w:sz w:val="20"/>
              </w:rPr>
            </w:pPr>
            <w:proofErr w:type="spellStart"/>
            <w:r w:rsidRPr="00147A77">
              <w:rPr>
                <w:rFonts w:ascii="Arial" w:hAnsi="Arial" w:cs="Arial"/>
                <w:sz w:val="20"/>
              </w:rPr>
              <w:t>n.a.</w:t>
            </w:r>
            <w:proofErr w:type="spellEnd"/>
          </w:p>
        </w:tc>
      </w:tr>
      <w:tr w:rsidR="008932A2" w:rsidRPr="00147A77" w14:paraId="19C28038" w14:textId="77777777" w:rsidTr="00C822FF">
        <w:tc>
          <w:tcPr>
            <w:tcW w:w="2095" w:type="dxa"/>
          </w:tcPr>
          <w:p w14:paraId="1C2B0608" w14:textId="77777777" w:rsidR="008932A2" w:rsidRPr="00147A77" w:rsidRDefault="008932A2" w:rsidP="00C822FF">
            <w:pPr>
              <w:rPr>
                <w:rFonts w:ascii="Arial" w:eastAsia="Times New Roman" w:hAnsi="Arial" w:cs="Arial"/>
                <w:b/>
                <w:sz w:val="20"/>
              </w:rPr>
            </w:pPr>
            <w:r w:rsidRPr="00147A77">
              <w:rPr>
                <w:rFonts w:ascii="Arial" w:eastAsia="Times New Roman" w:hAnsi="Arial" w:cs="Arial"/>
                <w:b/>
                <w:sz w:val="20"/>
              </w:rPr>
              <w:t>Differentiation according to client categorisation</w:t>
            </w:r>
          </w:p>
        </w:tc>
        <w:tc>
          <w:tcPr>
            <w:tcW w:w="6467" w:type="dxa"/>
            <w:gridSpan w:val="2"/>
          </w:tcPr>
          <w:p w14:paraId="39932072" w14:textId="77777777" w:rsidR="008932A2" w:rsidRPr="00147A77" w:rsidRDefault="008932A2" w:rsidP="00C822FF">
            <w:pPr>
              <w:rPr>
                <w:rFonts w:ascii="Arial" w:hAnsi="Arial" w:cs="Arial"/>
                <w:sz w:val="20"/>
              </w:rPr>
            </w:pPr>
            <w:r w:rsidRPr="00147A77">
              <w:rPr>
                <w:rFonts w:ascii="Arial" w:hAnsi="Arial" w:cs="Arial"/>
                <w:sz w:val="20"/>
              </w:rPr>
              <w:t xml:space="preserve">No differentiation is made. Petrus’ clients are all professional clients. </w:t>
            </w:r>
          </w:p>
        </w:tc>
        <w:tc>
          <w:tcPr>
            <w:tcW w:w="6826" w:type="dxa"/>
          </w:tcPr>
          <w:p w14:paraId="5C509073" w14:textId="77777777" w:rsidR="008932A2" w:rsidRPr="00147A77" w:rsidRDefault="008932A2" w:rsidP="00C822FF">
            <w:pPr>
              <w:rPr>
                <w:rFonts w:ascii="Arial" w:hAnsi="Arial" w:cs="Arial"/>
                <w:sz w:val="20"/>
              </w:rPr>
            </w:pPr>
            <w:proofErr w:type="spellStart"/>
            <w:r w:rsidRPr="00147A77">
              <w:rPr>
                <w:rFonts w:ascii="Arial" w:hAnsi="Arial" w:cs="Arial"/>
                <w:sz w:val="20"/>
              </w:rPr>
              <w:t>n.a.</w:t>
            </w:r>
            <w:proofErr w:type="spellEnd"/>
          </w:p>
        </w:tc>
      </w:tr>
      <w:tr w:rsidR="008932A2" w:rsidRPr="00147A77" w14:paraId="03418B41" w14:textId="77777777" w:rsidTr="00C822FF">
        <w:tc>
          <w:tcPr>
            <w:tcW w:w="2095" w:type="dxa"/>
          </w:tcPr>
          <w:p w14:paraId="55BDA229" w14:textId="77777777" w:rsidR="008932A2" w:rsidRPr="00147A77" w:rsidRDefault="008932A2" w:rsidP="00C822FF">
            <w:pPr>
              <w:rPr>
                <w:rFonts w:ascii="Arial" w:eastAsia="Times New Roman" w:hAnsi="Arial" w:cs="Arial"/>
                <w:b/>
                <w:sz w:val="20"/>
              </w:rPr>
            </w:pPr>
            <w:r w:rsidRPr="00147A77">
              <w:rPr>
                <w:rFonts w:ascii="Arial" w:eastAsia="Times New Roman" w:hAnsi="Arial" w:cs="Arial"/>
                <w:b/>
                <w:sz w:val="20"/>
              </w:rPr>
              <w:t>Use of data / tools for execution quality analysis</w:t>
            </w:r>
          </w:p>
        </w:tc>
        <w:tc>
          <w:tcPr>
            <w:tcW w:w="6467" w:type="dxa"/>
            <w:gridSpan w:val="2"/>
            <w:shd w:val="clear" w:color="auto" w:fill="auto"/>
          </w:tcPr>
          <w:p w14:paraId="7269DFAA" w14:textId="0C24E52B" w:rsidR="008932A2" w:rsidRPr="00147A77" w:rsidRDefault="008932A2" w:rsidP="00C822FF">
            <w:pPr>
              <w:spacing w:before="120" w:after="120"/>
              <w:rPr>
                <w:rFonts w:ascii="Arial" w:hAnsi="Arial" w:cs="Arial"/>
                <w:sz w:val="20"/>
              </w:rPr>
            </w:pPr>
            <w:r w:rsidRPr="00147A77">
              <w:rPr>
                <w:rFonts w:ascii="Arial" w:hAnsi="Arial" w:cs="Arial"/>
                <w:sz w:val="20"/>
              </w:rPr>
              <w:t xml:space="preserve">In accordance with MiFID2 regulations Petrus </w:t>
            </w:r>
            <w:r w:rsidR="00545072">
              <w:rPr>
                <w:rFonts w:ascii="Arial" w:hAnsi="Arial" w:cs="Arial"/>
                <w:sz w:val="20"/>
              </w:rPr>
              <w:t xml:space="preserve">has </w:t>
            </w:r>
            <w:r w:rsidRPr="00147A77">
              <w:rPr>
                <w:rFonts w:ascii="Arial" w:hAnsi="Arial" w:cs="Arial"/>
                <w:sz w:val="20"/>
              </w:rPr>
              <w:t xml:space="preserve">integrated the Multi-Asset Bloomberg Transaction Cost Analytics product (BTCA) for trade and trend outlier identification. </w:t>
            </w:r>
          </w:p>
        </w:tc>
        <w:tc>
          <w:tcPr>
            <w:tcW w:w="6826" w:type="dxa"/>
          </w:tcPr>
          <w:p w14:paraId="62B67EAF" w14:textId="77777777" w:rsidR="008932A2" w:rsidRPr="00147A77" w:rsidRDefault="008932A2" w:rsidP="00C822FF">
            <w:pPr>
              <w:spacing w:before="120" w:after="120"/>
              <w:rPr>
                <w:rFonts w:ascii="Arial" w:hAnsi="Arial" w:cs="Arial"/>
                <w:sz w:val="20"/>
              </w:rPr>
            </w:pPr>
            <w:r w:rsidRPr="00147A77">
              <w:rPr>
                <w:rFonts w:ascii="Arial" w:hAnsi="Arial" w:cs="Arial"/>
                <w:sz w:val="20"/>
              </w:rPr>
              <w:t>BTCA provides powerful analysis and exception-based workflow processes to help ensure you obtain the best possible result for the end client when executing orders whilst adhering to Petrus’ internal order execution policy.</w:t>
            </w:r>
          </w:p>
          <w:p w14:paraId="0E26D838" w14:textId="77777777" w:rsidR="008932A2" w:rsidRPr="00147A77" w:rsidRDefault="008932A2" w:rsidP="00C822FF">
            <w:pPr>
              <w:spacing w:before="120" w:after="120"/>
              <w:rPr>
                <w:rFonts w:ascii="Arial" w:hAnsi="Arial" w:cs="Arial"/>
                <w:sz w:val="20"/>
              </w:rPr>
            </w:pPr>
          </w:p>
        </w:tc>
      </w:tr>
    </w:tbl>
    <w:p w14:paraId="0487E4DB" w14:textId="77777777" w:rsidR="008932A2" w:rsidRPr="003A2C9F" w:rsidRDefault="008932A2" w:rsidP="008932A2">
      <w:pPr>
        <w:rPr>
          <w:rFonts w:ascii="Arial" w:hAnsi="Arial" w:cs="Arial"/>
        </w:rPr>
      </w:pPr>
    </w:p>
    <w:p w14:paraId="4DB12745" w14:textId="77777777" w:rsidR="008932A2" w:rsidRPr="003A2C9F" w:rsidRDefault="008932A2">
      <w:pPr>
        <w:rPr>
          <w:rFonts w:ascii="Arial" w:hAnsi="Arial" w:cs="Arial"/>
        </w:rPr>
      </w:pPr>
    </w:p>
    <w:sectPr w:rsidR="008932A2" w:rsidRPr="003A2C9F" w:rsidSect="00AE6F1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4DCD"/>
    <w:multiLevelType w:val="hybridMultilevel"/>
    <w:tmpl w:val="0D04CAE2"/>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15:restartNumberingAfterBreak="0">
    <w:nsid w:val="1E7D4CD8"/>
    <w:multiLevelType w:val="hybridMultilevel"/>
    <w:tmpl w:val="93E8B5B2"/>
    <w:lvl w:ilvl="0" w:tplc="E4AA00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EF426B"/>
    <w:multiLevelType w:val="hybridMultilevel"/>
    <w:tmpl w:val="7A905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066A8"/>
    <w:multiLevelType w:val="hybridMultilevel"/>
    <w:tmpl w:val="2B7C7ACC"/>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 w15:restartNumberingAfterBreak="0">
    <w:nsid w:val="30463D1D"/>
    <w:multiLevelType w:val="hybridMultilevel"/>
    <w:tmpl w:val="04D8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47359"/>
    <w:multiLevelType w:val="hybridMultilevel"/>
    <w:tmpl w:val="C26C40CA"/>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6" w15:restartNumberingAfterBreak="0">
    <w:nsid w:val="38B11901"/>
    <w:multiLevelType w:val="hybridMultilevel"/>
    <w:tmpl w:val="9CFACE4E"/>
    <w:lvl w:ilvl="0" w:tplc="BAEC6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C94553"/>
    <w:multiLevelType w:val="hybridMultilevel"/>
    <w:tmpl w:val="9A8C73D4"/>
    <w:lvl w:ilvl="0" w:tplc="4A8077FC">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86B60"/>
    <w:multiLevelType w:val="hybridMultilevel"/>
    <w:tmpl w:val="33B8951A"/>
    <w:lvl w:ilvl="0" w:tplc="9E48AB94">
      <w:start w:val="1"/>
      <w:numFmt w:val="bullet"/>
      <w:pStyle w:val="Bulletedlist1"/>
      <w:lvlText w:val=""/>
      <w:lvlJc w:val="left"/>
      <w:pPr>
        <w:ind w:left="720" w:hanging="360"/>
      </w:pPr>
      <w:rPr>
        <w:rFonts w:ascii="Symbol" w:hAnsi="Symbol" w:hint="default"/>
        <w:color w:val="37505A"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F15183"/>
    <w:multiLevelType w:val="hybridMultilevel"/>
    <w:tmpl w:val="494A06EA"/>
    <w:lvl w:ilvl="0" w:tplc="10DACC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6899883">
    <w:abstractNumId w:val="4"/>
  </w:num>
  <w:num w:numId="2" w16cid:durableId="1399129403">
    <w:abstractNumId w:val="3"/>
  </w:num>
  <w:num w:numId="3" w16cid:durableId="1995717058">
    <w:abstractNumId w:val="0"/>
  </w:num>
  <w:num w:numId="4" w16cid:durableId="1110205907">
    <w:abstractNumId w:val="5"/>
  </w:num>
  <w:num w:numId="5" w16cid:durableId="2105806081">
    <w:abstractNumId w:val="1"/>
  </w:num>
  <w:num w:numId="6" w16cid:durableId="391735427">
    <w:abstractNumId w:val="6"/>
  </w:num>
  <w:num w:numId="7" w16cid:durableId="185800879">
    <w:abstractNumId w:val="7"/>
  </w:num>
  <w:num w:numId="8" w16cid:durableId="601886820">
    <w:abstractNumId w:val="2"/>
  </w:num>
  <w:num w:numId="9" w16cid:durableId="1318992865">
    <w:abstractNumId w:val="9"/>
  </w:num>
  <w:num w:numId="10" w16cid:durableId="1051466169">
    <w:abstractNumId w:val="8"/>
  </w:num>
  <w:num w:numId="11" w16cid:durableId="287048350">
    <w:abstractNumId w:val="8"/>
  </w:num>
  <w:num w:numId="12" w16cid:durableId="469831290">
    <w:abstractNumId w:val="8"/>
  </w:num>
  <w:num w:numId="13" w16cid:durableId="2116434388">
    <w:abstractNumId w:val="8"/>
  </w:num>
  <w:num w:numId="14" w16cid:durableId="1978562765">
    <w:abstractNumId w:val="8"/>
  </w:num>
  <w:num w:numId="15" w16cid:durableId="828519608">
    <w:abstractNumId w:val="8"/>
  </w:num>
  <w:num w:numId="16" w16cid:durableId="1395276502">
    <w:abstractNumId w:val="8"/>
  </w:num>
  <w:num w:numId="17" w16cid:durableId="420762898">
    <w:abstractNumId w:val="8"/>
  </w:num>
  <w:num w:numId="18" w16cid:durableId="1217006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683"/>
    <w:rsid w:val="000014C0"/>
    <w:rsid w:val="0003774C"/>
    <w:rsid w:val="00043E38"/>
    <w:rsid w:val="0004717E"/>
    <w:rsid w:val="00085A98"/>
    <w:rsid w:val="0008696C"/>
    <w:rsid w:val="000C200B"/>
    <w:rsid w:val="00116B86"/>
    <w:rsid w:val="00127878"/>
    <w:rsid w:val="00147A77"/>
    <w:rsid w:val="00155E89"/>
    <w:rsid w:val="00160581"/>
    <w:rsid w:val="00193233"/>
    <w:rsid w:val="001976E1"/>
    <w:rsid w:val="001A5195"/>
    <w:rsid w:val="001C0265"/>
    <w:rsid w:val="001C33A8"/>
    <w:rsid w:val="00201540"/>
    <w:rsid w:val="002108E0"/>
    <w:rsid w:val="0027499C"/>
    <w:rsid w:val="002C5BC4"/>
    <w:rsid w:val="002E0F94"/>
    <w:rsid w:val="002E1A19"/>
    <w:rsid w:val="003253E6"/>
    <w:rsid w:val="00334055"/>
    <w:rsid w:val="00373B76"/>
    <w:rsid w:val="0037564A"/>
    <w:rsid w:val="003945E3"/>
    <w:rsid w:val="003A2C9F"/>
    <w:rsid w:val="003B6A63"/>
    <w:rsid w:val="003C5D6E"/>
    <w:rsid w:val="003E5F67"/>
    <w:rsid w:val="00406314"/>
    <w:rsid w:val="00423EB3"/>
    <w:rsid w:val="004312D6"/>
    <w:rsid w:val="004620F8"/>
    <w:rsid w:val="004A68D5"/>
    <w:rsid w:val="004B255C"/>
    <w:rsid w:val="004C24A7"/>
    <w:rsid w:val="0052448E"/>
    <w:rsid w:val="00545072"/>
    <w:rsid w:val="00593042"/>
    <w:rsid w:val="005B060E"/>
    <w:rsid w:val="0060240B"/>
    <w:rsid w:val="006226A6"/>
    <w:rsid w:val="00646C26"/>
    <w:rsid w:val="00650884"/>
    <w:rsid w:val="00661184"/>
    <w:rsid w:val="0066149F"/>
    <w:rsid w:val="00696E05"/>
    <w:rsid w:val="006C3508"/>
    <w:rsid w:val="007623CF"/>
    <w:rsid w:val="007672BE"/>
    <w:rsid w:val="0079081F"/>
    <w:rsid w:val="0079361E"/>
    <w:rsid w:val="007A1A11"/>
    <w:rsid w:val="007A6199"/>
    <w:rsid w:val="008018F5"/>
    <w:rsid w:val="0082508E"/>
    <w:rsid w:val="00850AAF"/>
    <w:rsid w:val="008513E5"/>
    <w:rsid w:val="008932A2"/>
    <w:rsid w:val="008B65F5"/>
    <w:rsid w:val="008C753C"/>
    <w:rsid w:val="008D1E2A"/>
    <w:rsid w:val="008D7EAF"/>
    <w:rsid w:val="00903489"/>
    <w:rsid w:val="00907727"/>
    <w:rsid w:val="00923596"/>
    <w:rsid w:val="00983DB8"/>
    <w:rsid w:val="00992667"/>
    <w:rsid w:val="009C7901"/>
    <w:rsid w:val="00A0052C"/>
    <w:rsid w:val="00A068A5"/>
    <w:rsid w:val="00A33519"/>
    <w:rsid w:val="00A473D6"/>
    <w:rsid w:val="00A502DD"/>
    <w:rsid w:val="00A709AD"/>
    <w:rsid w:val="00A74863"/>
    <w:rsid w:val="00AE0A55"/>
    <w:rsid w:val="00AE6F12"/>
    <w:rsid w:val="00B00038"/>
    <w:rsid w:val="00B2301C"/>
    <w:rsid w:val="00B2339F"/>
    <w:rsid w:val="00B66E6F"/>
    <w:rsid w:val="00BB3517"/>
    <w:rsid w:val="00BB3562"/>
    <w:rsid w:val="00BD7369"/>
    <w:rsid w:val="00BF12AC"/>
    <w:rsid w:val="00BF762C"/>
    <w:rsid w:val="00C2343D"/>
    <w:rsid w:val="00C43EEA"/>
    <w:rsid w:val="00C80290"/>
    <w:rsid w:val="00C95613"/>
    <w:rsid w:val="00D04045"/>
    <w:rsid w:val="00D06DFE"/>
    <w:rsid w:val="00D3235D"/>
    <w:rsid w:val="00D43B3D"/>
    <w:rsid w:val="00D94DF6"/>
    <w:rsid w:val="00DD1FA9"/>
    <w:rsid w:val="00DE2683"/>
    <w:rsid w:val="00E57C33"/>
    <w:rsid w:val="00E7204B"/>
    <w:rsid w:val="00E9679C"/>
    <w:rsid w:val="00EA4001"/>
    <w:rsid w:val="00EB122F"/>
    <w:rsid w:val="00F063F4"/>
    <w:rsid w:val="00F1147C"/>
    <w:rsid w:val="00F43599"/>
    <w:rsid w:val="00F53342"/>
    <w:rsid w:val="00F54625"/>
    <w:rsid w:val="00FC2518"/>
    <w:rsid w:val="00FF2ACC"/>
    <w:rsid w:val="00FF6F80"/>
    <w:rsid w:val="00FF711A"/>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F35DD"/>
  <w15:chartTrackingRefBased/>
  <w15:docId w15:val="{85505F7C-82B7-48F1-9153-49ABA09B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47A77"/>
    <w:pPr>
      <w:keepNext/>
      <w:keepLines/>
      <w:spacing w:before="120" w:after="120" w:line="288" w:lineRule="auto"/>
      <w:outlineLvl w:val="0"/>
    </w:pPr>
    <w:rPr>
      <w:rFonts w:asciiTheme="majorHAnsi" w:eastAsiaTheme="majorEastAsia" w:hAnsiTheme="majorHAnsi" w:cstheme="majorBidi"/>
      <w:color w:val="002B45" w:themeColor="text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E2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060E"/>
    <w:pPr>
      <w:ind w:left="720"/>
      <w:contextualSpacing/>
    </w:pPr>
  </w:style>
  <w:style w:type="character" w:styleId="Kommentarzeichen">
    <w:name w:val="annotation reference"/>
    <w:basedOn w:val="Absatz-Standardschriftart"/>
    <w:uiPriority w:val="99"/>
    <w:semiHidden/>
    <w:unhideWhenUsed/>
    <w:rsid w:val="00D43B3D"/>
    <w:rPr>
      <w:sz w:val="16"/>
      <w:szCs w:val="16"/>
    </w:rPr>
  </w:style>
  <w:style w:type="paragraph" w:styleId="Kommentartext">
    <w:name w:val="annotation text"/>
    <w:basedOn w:val="Standard"/>
    <w:link w:val="KommentartextZchn"/>
    <w:uiPriority w:val="99"/>
    <w:semiHidden/>
    <w:unhideWhenUsed/>
    <w:rsid w:val="00D43B3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43B3D"/>
    <w:rPr>
      <w:sz w:val="20"/>
      <w:szCs w:val="20"/>
    </w:rPr>
  </w:style>
  <w:style w:type="paragraph" w:styleId="Kommentarthema">
    <w:name w:val="annotation subject"/>
    <w:basedOn w:val="Kommentartext"/>
    <w:next w:val="Kommentartext"/>
    <w:link w:val="KommentarthemaZchn"/>
    <w:uiPriority w:val="99"/>
    <w:semiHidden/>
    <w:unhideWhenUsed/>
    <w:rsid w:val="00D43B3D"/>
    <w:rPr>
      <w:b/>
      <w:bCs/>
    </w:rPr>
  </w:style>
  <w:style w:type="character" w:customStyle="1" w:styleId="KommentarthemaZchn">
    <w:name w:val="Kommentarthema Zchn"/>
    <w:basedOn w:val="KommentartextZchn"/>
    <w:link w:val="Kommentarthema"/>
    <w:uiPriority w:val="99"/>
    <w:semiHidden/>
    <w:rsid w:val="00D43B3D"/>
    <w:rPr>
      <w:b/>
      <w:bCs/>
      <w:sz w:val="20"/>
      <w:szCs w:val="20"/>
    </w:rPr>
  </w:style>
  <w:style w:type="paragraph" w:styleId="Sprechblasentext">
    <w:name w:val="Balloon Text"/>
    <w:basedOn w:val="Standard"/>
    <w:link w:val="SprechblasentextZchn"/>
    <w:uiPriority w:val="99"/>
    <w:semiHidden/>
    <w:unhideWhenUsed/>
    <w:rsid w:val="00D43B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3B3D"/>
    <w:rPr>
      <w:rFonts w:ascii="Segoe UI" w:hAnsi="Segoe UI" w:cs="Segoe UI"/>
      <w:sz w:val="18"/>
      <w:szCs w:val="18"/>
    </w:rPr>
  </w:style>
  <w:style w:type="paragraph" w:customStyle="1" w:styleId="Bulletedlist1">
    <w:name w:val="_Bulleted list_1"/>
    <w:basedOn w:val="Listenabsatz"/>
    <w:link w:val="Bulletedlist1Zchn"/>
    <w:qFormat/>
    <w:rsid w:val="003A2C9F"/>
    <w:pPr>
      <w:numPr>
        <w:numId w:val="10"/>
      </w:numPr>
      <w:spacing w:after="0" w:line="240" w:lineRule="auto"/>
    </w:pPr>
    <w:rPr>
      <w:rFonts w:ascii="Arial" w:hAnsi="Arial" w:cs="Arial"/>
    </w:rPr>
  </w:style>
  <w:style w:type="character" w:customStyle="1" w:styleId="berschrift1Zchn">
    <w:name w:val="Überschrift 1 Zchn"/>
    <w:basedOn w:val="Absatz-Standardschriftart"/>
    <w:link w:val="berschrift1"/>
    <w:uiPriority w:val="9"/>
    <w:rsid w:val="00147A77"/>
    <w:rPr>
      <w:rFonts w:asciiTheme="majorHAnsi" w:eastAsiaTheme="majorEastAsia" w:hAnsiTheme="majorHAnsi" w:cstheme="majorBidi"/>
      <w:color w:val="002B45" w:themeColor="text2"/>
      <w:sz w:val="32"/>
      <w:szCs w:val="32"/>
    </w:rPr>
  </w:style>
  <w:style w:type="character" w:customStyle="1" w:styleId="ListenabsatzZchn">
    <w:name w:val="Listenabsatz Zchn"/>
    <w:basedOn w:val="Absatz-Standardschriftart"/>
    <w:link w:val="Listenabsatz"/>
    <w:uiPriority w:val="34"/>
    <w:rsid w:val="003A2C9F"/>
  </w:style>
  <w:style w:type="character" w:customStyle="1" w:styleId="Bulletedlist1Zchn">
    <w:name w:val="_Bulleted list_1 Zchn"/>
    <w:basedOn w:val="ListenabsatzZchn"/>
    <w:link w:val="Bulletedlist1"/>
    <w:rsid w:val="003A2C9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9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Petrus UK">
  <a:themeElements>
    <a:clrScheme name="Petrus Advisers_Color">
      <a:dk1>
        <a:sysClr val="windowText" lastClr="000000"/>
      </a:dk1>
      <a:lt1>
        <a:sysClr val="window" lastClr="FFFFFF"/>
      </a:lt1>
      <a:dk2>
        <a:srgbClr val="002B45"/>
      </a:dk2>
      <a:lt2>
        <a:srgbClr val="F4AC38"/>
      </a:lt2>
      <a:accent1>
        <a:srgbClr val="0064B4"/>
      </a:accent1>
      <a:accent2>
        <a:srgbClr val="4191E1"/>
      </a:accent2>
      <a:accent3>
        <a:srgbClr val="A0C6FE"/>
      </a:accent3>
      <a:accent4>
        <a:srgbClr val="37505A"/>
      </a:accent4>
      <a:accent5>
        <a:srgbClr val="5C788F"/>
      </a:accent5>
      <a:accent6>
        <a:srgbClr val="AAAAAA"/>
      </a:accent6>
      <a:hlink>
        <a:srgbClr val="0000FF"/>
      </a:hlink>
      <a:folHlink>
        <a:srgbClr val="800080"/>
      </a:folHlink>
    </a:clrScheme>
    <a:fontScheme name="Petrus Advisers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4600</Characters>
  <Application>Microsoft Office Word</Application>
  <DocSecurity>0</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Neumann</dc:creator>
  <cp:keywords/>
  <dc:description/>
  <cp:lastModifiedBy>Radovan Stojsavljevic</cp:lastModifiedBy>
  <cp:revision>3</cp:revision>
  <dcterms:created xsi:type="dcterms:W3CDTF">2022-09-29T15:54:00Z</dcterms:created>
  <dcterms:modified xsi:type="dcterms:W3CDTF">2022-10-07T09:56:00Z</dcterms:modified>
</cp:coreProperties>
</file>